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7F510" w14:textId="77777777" w:rsidR="00375A71" w:rsidRDefault="00375A71" w:rsidP="00375A71">
      <w:pPr>
        <w:spacing w:after="0" w:line="240" w:lineRule="auto"/>
        <w:jc w:val="center"/>
        <w:textAlignment w:val="baseline"/>
        <w:rPr>
          <w:rFonts w:ascii="Lucida Sans" w:eastAsia="Times New Roman" w:hAnsi="Lucida Sans" w:cs="Times New Roman"/>
          <w:b/>
          <w:color w:val="538135" w:themeColor="accent6" w:themeShade="BF"/>
          <w:sz w:val="28"/>
          <w:szCs w:val="23"/>
          <w:u w:val="single"/>
          <w:lang w:bidi="ar-SA"/>
        </w:rPr>
      </w:pPr>
      <w:bookmarkStart w:id="0" w:name="Consent"/>
      <w:bookmarkStart w:id="1" w:name="Requiredlanguageforconsent"/>
    </w:p>
    <w:bookmarkEnd w:id="0"/>
    <w:bookmarkEnd w:id="1"/>
    <w:p w14:paraId="3DC1423A" w14:textId="77777777" w:rsidR="00375A71" w:rsidRPr="00375A71" w:rsidRDefault="00375A71" w:rsidP="00375A71">
      <w:pPr>
        <w:autoSpaceDE w:val="0"/>
        <w:autoSpaceDN w:val="0"/>
        <w:spacing w:after="120" w:line="240" w:lineRule="auto"/>
        <w:rPr>
          <w:rFonts w:ascii="Arial" w:eastAsia="Times New Roman" w:hAnsi="Arial" w:cs="Times New Roman"/>
          <w:b/>
          <w:iCs/>
          <w:color w:val="FF0000"/>
          <w:sz w:val="16"/>
          <w:szCs w:val="16"/>
          <w:lang w:bidi="ar-SA"/>
        </w:rPr>
      </w:pPr>
    </w:p>
    <w:p w14:paraId="3A1675A0" w14:textId="77777777" w:rsidR="00375A71" w:rsidRPr="00E6165C" w:rsidRDefault="00375A71" w:rsidP="00375A71">
      <w:pPr>
        <w:spacing w:after="0" w:line="240" w:lineRule="auto"/>
        <w:jc w:val="center"/>
        <w:textAlignment w:val="baseline"/>
        <w:rPr>
          <w:rFonts w:ascii="Arial" w:eastAsia="Times New Roman" w:hAnsi="Arial" w:cs="Arial"/>
          <w:b/>
          <w:sz w:val="32"/>
          <w:szCs w:val="32"/>
          <w:u w:val="single"/>
          <w:lang w:bidi="ar-SA"/>
        </w:rPr>
      </w:pPr>
      <w:bookmarkStart w:id="2" w:name="UMLocalcontext"/>
      <w:r w:rsidRPr="00E6165C">
        <w:rPr>
          <w:rFonts w:ascii="Arial" w:eastAsia="Times New Roman" w:hAnsi="Arial" w:cs="Arial"/>
          <w:b/>
          <w:sz w:val="32"/>
          <w:szCs w:val="32"/>
          <w:u w:val="single"/>
          <w:lang w:bidi="ar-SA"/>
        </w:rPr>
        <w:t>Local Context Information</w:t>
      </w:r>
    </w:p>
    <w:p w14:paraId="0AAB4AB4" w14:textId="77777777" w:rsidR="00375A71" w:rsidRPr="00E6165C" w:rsidRDefault="00375A71" w:rsidP="00375A71">
      <w:pPr>
        <w:spacing w:after="0" w:line="240" w:lineRule="auto"/>
        <w:rPr>
          <w:rFonts w:ascii="Arial" w:eastAsia="Times New Roman" w:hAnsi="Arial" w:cs="Arial"/>
          <w:sz w:val="24"/>
          <w:szCs w:val="24"/>
          <w:u w:val="single"/>
          <w:lang w:bidi="ar-SA"/>
        </w:rPr>
      </w:pPr>
      <w:bookmarkStart w:id="3" w:name="GeneralInstitutionInformation"/>
      <w:bookmarkEnd w:id="2"/>
    </w:p>
    <w:p w14:paraId="685D8B1E" w14:textId="77777777" w:rsidR="00375A71" w:rsidRPr="00FB45D1" w:rsidRDefault="00375A71" w:rsidP="00FB45D1">
      <w:pPr>
        <w:spacing w:after="0" w:line="240" w:lineRule="auto"/>
        <w:jc w:val="center"/>
        <w:rPr>
          <w:rFonts w:ascii="Arial" w:eastAsia="Times New Roman" w:hAnsi="Arial" w:cs="Arial"/>
          <w:b/>
          <w:bCs/>
          <w:sz w:val="24"/>
          <w:szCs w:val="24"/>
          <w:u w:val="single"/>
          <w:lang w:bidi="ar-SA"/>
        </w:rPr>
      </w:pPr>
      <w:r w:rsidRPr="00FB45D1">
        <w:rPr>
          <w:rFonts w:ascii="Arial" w:eastAsia="Times New Roman" w:hAnsi="Arial" w:cs="Arial"/>
          <w:b/>
          <w:bCs/>
          <w:sz w:val="24"/>
          <w:szCs w:val="24"/>
          <w:u w:val="single"/>
          <w:lang w:bidi="ar-SA"/>
        </w:rPr>
        <w:t>Institution Information</w:t>
      </w:r>
    </w:p>
    <w:bookmarkEnd w:id="3"/>
    <w:p w14:paraId="67AEF2C9" w14:textId="77777777" w:rsidR="00375A71" w:rsidRPr="00E6165C" w:rsidRDefault="00375A71" w:rsidP="00375A71">
      <w:pPr>
        <w:spacing w:after="0" w:line="240" w:lineRule="auto"/>
        <w:rPr>
          <w:rFonts w:ascii="Arial" w:eastAsia="Times New Roman" w:hAnsi="Arial" w:cs="Arial"/>
          <w:sz w:val="24"/>
          <w:szCs w:val="24"/>
          <w:u w:val="single"/>
          <w:lang w:bidi="ar-SA"/>
        </w:rPr>
      </w:pPr>
    </w:p>
    <w:p w14:paraId="3DA4F0A5"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The Miami community has a positive attitude toward the conduct of human subject research.</w:t>
      </w:r>
    </w:p>
    <w:p w14:paraId="7BB0CBCB" w14:textId="77777777" w:rsidR="00375A71" w:rsidRPr="00E6165C" w:rsidRDefault="00375A71" w:rsidP="00375A71">
      <w:pPr>
        <w:spacing w:after="0" w:line="240" w:lineRule="auto"/>
        <w:ind w:left="720"/>
        <w:contextualSpacing/>
        <w:rPr>
          <w:rFonts w:ascii="Arial" w:hAnsi="Arial" w:cs="Arial"/>
          <w:sz w:val="24"/>
          <w:szCs w:val="24"/>
        </w:rPr>
      </w:pPr>
    </w:p>
    <w:p w14:paraId="4887337D"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UM’s Institutional Official (IO)</w:t>
      </w:r>
    </w:p>
    <w:p w14:paraId="05CF2F49"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Responsible for identifying, managing, and reporting potential unanticipated problems involving risks to subjects or others and/or serious or continuing noncompliance:</w:t>
      </w:r>
    </w:p>
    <w:p w14:paraId="7855B412" w14:textId="77777777" w:rsidR="00375A71" w:rsidRPr="00E6165C" w:rsidRDefault="00375A71" w:rsidP="00375A71">
      <w:pPr>
        <w:spacing w:after="0" w:line="240" w:lineRule="auto"/>
        <w:rPr>
          <w:rFonts w:ascii="Arial" w:eastAsia="Times New Roman" w:hAnsi="Arial" w:cs="Arial"/>
          <w:sz w:val="24"/>
          <w:szCs w:val="24"/>
          <w:lang w:bidi="ar-SA"/>
        </w:rPr>
      </w:pPr>
    </w:p>
    <w:p w14:paraId="4FC25C6D" w14:textId="5D3CE21C" w:rsidR="00375A71" w:rsidRPr="00E6165C" w:rsidRDefault="00DE6683" w:rsidP="00DB2307">
      <w:pPr>
        <w:spacing w:after="0" w:line="240" w:lineRule="auto"/>
        <w:ind w:left="1440"/>
        <w:contextualSpacing/>
        <w:rPr>
          <w:rFonts w:ascii="Arial" w:eastAsia="Times New Roman" w:hAnsi="Arial" w:cs="Arial"/>
          <w:sz w:val="24"/>
          <w:szCs w:val="24"/>
          <w:lang w:bidi="ar-SA"/>
        </w:rPr>
      </w:pPr>
      <w:r>
        <w:rPr>
          <w:rFonts w:ascii="Arial" w:eastAsia="Times New Roman" w:hAnsi="Arial" w:cs="Arial"/>
          <w:sz w:val="24"/>
          <w:szCs w:val="24"/>
          <w:lang w:bidi="ar-SA"/>
        </w:rPr>
        <w:t>Maria L Alcaide, M.D</w:t>
      </w:r>
      <w:r w:rsidR="00123536">
        <w:rPr>
          <w:rFonts w:ascii="Arial" w:eastAsia="Times New Roman" w:hAnsi="Arial" w:cs="Arial"/>
          <w:sz w:val="24"/>
          <w:szCs w:val="24"/>
          <w:lang w:bidi="ar-SA"/>
        </w:rPr>
        <w:t xml:space="preserve">. </w:t>
      </w:r>
      <w:r w:rsidR="00375A71" w:rsidRPr="00E6165C">
        <w:rPr>
          <w:rFonts w:ascii="Arial" w:eastAsia="Times New Roman" w:hAnsi="Arial" w:cs="Arial"/>
          <w:sz w:val="24"/>
          <w:szCs w:val="24"/>
          <w:lang w:bidi="ar-SA"/>
        </w:rPr>
        <w:t xml:space="preserve">Vice </w:t>
      </w:r>
      <w:r w:rsidR="00300358">
        <w:rPr>
          <w:rFonts w:ascii="Arial" w:eastAsia="Times New Roman" w:hAnsi="Arial" w:cs="Arial"/>
          <w:sz w:val="24"/>
          <w:szCs w:val="24"/>
          <w:lang w:bidi="ar-SA"/>
        </w:rPr>
        <w:t>Provost for Research and Scholarship</w:t>
      </w:r>
    </w:p>
    <w:p w14:paraId="6E60AE8A" w14:textId="1EF608EE" w:rsidR="00375A71" w:rsidRPr="00E6165C" w:rsidRDefault="00DB2307" w:rsidP="00375A71">
      <w:pPr>
        <w:spacing w:after="0" w:line="240" w:lineRule="auto"/>
        <w:ind w:left="144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Phone number: 305-243-</w:t>
      </w:r>
      <w:r w:rsidR="00DE6683">
        <w:rPr>
          <w:rFonts w:ascii="Arial" w:eastAsia="Times New Roman" w:hAnsi="Arial" w:cs="Arial"/>
          <w:sz w:val="24"/>
          <w:szCs w:val="24"/>
          <w:lang w:bidi="ar-SA"/>
        </w:rPr>
        <w:t>8434</w:t>
      </w:r>
    </w:p>
    <w:p w14:paraId="0E14E862" w14:textId="5FC15778" w:rsidR="00DB2307" w:rsidRPr="00E6165C" w:rsidRDefault="00375A71" w:rsidP="00DB2307">
      <w:pPr>
        <w:spacing w:after="0" w:line="240" w:lineRule="auto"/>
        <w:ind w:left="1440"/>
        <w:contextualSpacing/>
        <w:rPr>
          <w:rFonts w:ascii="Arial" w:hAnsi="Arial" w:cs="Arial"/>
          <w:b/>
          <w:sz w:val="24"/>
          <w:szCs w:val="24"/>
        </w:rPr>
      </w:pPr>
      <w:r w:rsidRPr="00E6165C">
        <w:rPr>
          <w:rFonts w:ascii="Arial" w:eastAsia="Times New Roman" w:hAnsi="Arial" w:cs="Arial"/>
          <w:sz w:val="24"/>
          <w:szCs w:val="24"/>
          <w:lang w:bidi="ar-SA"/>
        </w:rPr>
        <w:t>Email address:</w:t>
      </w:r>
      <w:r w:rsidRPr="00E6165C">
        <w:rPr>
          <w:rFonts w:ascii="Arial" w:hAnsi="Arial" w:cs="Arial"/>
          <w:sz w:val="24"/>
          <w:szCs w:val="24"/>
        </w:rPr>
        <w:t xml:space="preserve"> </w:t>
      </w:r>
      <w:r w:rsidR="00DE6683">
        <w:rPr>
          <w:rStyle w:val="Hyperlink"/>
          <w:rFonts w:ascii="Arial" w:hAnsi="Arial" w:cs="Arial"/>
          <w:sz w:val="24"/>
          <w:szCs w:val="24"/>
        </w:rPr>
        <w:t xml:space="preserve"> malcaide@miami.edu</w:t>
      </w:r>
    </w:p>
    <w:p w14:paraId="5323C201" w14:textId="77777777" w:rsidR="00375A71" w:rsidRPr="00E6165C" w:rsidRDefault="00375A71" w:rsidP="00375A71">
      <w:pPr>
        <w:spacing w:after="0" w:line="240" w:lineRule="auto"/>
        <w:ind w:left="1440"/>
        <w:contextualSpacing/>
        <w:rPr>
          <w:rFonts w:ascii="Arial" w:hAnsi="Arial" w:cs="Arial"/>
          <w:sz w:val="24"/>
          <w:szCs w:val="24"/>
        </w:rPr>
      </w:pPr>
    </w:p>
    <w:p w14:paraId="1DD6885E"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Local Context Representative (Primary Contact)</w:t>
      </w:r>
    </w:p>
    <w:p w14:paraId="4A3A361F" w14:textId="77777777" w:rsidR="00375A71" w:rsidRPr="00E6165C" w:rsidRDefault="00375A71" w:rsidP="00375A71">
      <w:pPr>
        <w:spacing w:after="0" w:line="240" w:lineRule="auto"/>
        <w:rPr>
          <w:rFonts w:ascii="Arial" w:eastAsia="Times New Roman" w:hAnsi="Arial" w:cs="Arial"/>
          <w:sz w:val="24"/>
          <w:szCs w:val="24"/>
          <w:lang w:bidi="ar-SA"/>
        </w:rPr>
      </w:pPr>
    </w:p>
    <w:p w14:paraId="363B110A" w14:textId="5004B18E" w:rsidR="00375A71" w:rsidRPr="00E6165C" w:rsidRDefault="00375A71" w:rsidP="00375A71">
      <w:pPr>
        <w:spacing w:after="0" w:line="240" w:lineRule="auto"/>
        <w:ind w:left="144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Evelyne Bital, MA, CIP</w:t>
      </w:r>
    </w:p>
    <w:p w14:paraId="130974F1" w14:textId="77777777" w:rsidR="00375A71" w:rsidRPr="00E6165C" w:rsidRDefault="00375A71" w:rsidP="00375A71">
      <w:pPr>
        <w:spacing w:after="0" w:line="240" w:lineRule="auto"/>
        <w:ind w:left="144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Associate Director</w:t>
      </w:r>
      <w:r w:rsidR="00E6165C" w:rsidRPr="00E6165C">
        <w:rPr>
          <w:rFonts w:ascii="Arial" w:eastAsia="Times New Roman" w:hAnsi="Arial" w:cs="Arial"/>
          <w:sz w:val="24"/>
          <w:szCs w:val="24"/>
          <w:lang w:bidi="ar-SA"/>
        </w:rPr>
        <w:t>, Regulatory Affairs and Reliance</w:t>
      </w:r>
      <w:r w:rsidRPr="00E6165C">
        <w:rPr>
          <w:rFonts w:ascii="Arial" w:eastAsia="Times New Roman" w:hAnsi="Arial" w:cs="Arial"/>
          <w:sz w:val="24"/>
          <w:szCs w:val="24"/>
          <w:lang w:bidi="ar-SA"/>
        </w:rPr>
        <w:t xml:space="preserve"> </w:t>
      </w:r>
    </w:p>
    <w:p w14:paraId="6CD7FFE4" w14:textId="77777777" w:rsidR="00375A71" w:rsidRPr="00E6165C" w:rsidRDefault="00375A71" w:rsidP="00375A71">
      <w:pPr>
        <w:spacing w:after="0" w:line="240" w:lineRule="auto"/>
        <w:ind w:left="144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Phone number: (305) 243-9977</w:t>
      </w:r>
    </w:p>
    <w:p w14:paraId="3580AC77" w14:textId="17457B9A" w:rsidR="00375A71" w:rsidRPr="00E6165C" w:rsidRDefault="00375A71" w:rsidP="00375A71">
      <w:pPr>
        <w:spacing w:after="0" w:line="240" w:lineRule="auto"/>
        <w:ind w:left="1440"/>
        <w:contextualSpacing/>
        <w:rPr>
          <w:rFonts w:ascii="Arial" w:hAnsi="Arial" w:cs="Arial"/>
          <w:sz w:val="24"/>
          <w:szCs w:val="24"/>
        </w:rPr>
      </w:pPr>
      <w:r w:rsidRPr="00E6165C">
        <w:rPr>
          <w:rFonts w:ascii="Arial" w:eastAsia="Times New Roman" w:hAnsi="Arial" w:cs="Arial"/>
          <w:sz w:val="24"/>
          <w:szCs w:val="24"/>
          <w:lang w:bidi="ar-SA"/>
        </w:rPr>
        <w:t xml:space="preserve">Email address: </w:t>
      </w:r>
      <w:hyperlink r:id="rId7" w:history="1">
        <w:r w:rsidR="00DE6683" w:rsidRPr="00BC1B98">
          <w:rPr>
            <w:rStyle w:val="Hyperlink"/>
            <w:rFonts w:ascii="Arial" w:hAnsi="Arial" w:cs="Arial"/>
            <w:sz w:val="24"/>
            <w:szCs w:val="24"/>
          </w:rPr>
          <w:t>ebital@med.miami.edu</w:t>
        </w:r>
      </w:hyperlink>
      <w:r w:rsidRPr="00E6165C">
        <w:rPr>
          <w:rFonts w:ascii="Arial" w:hAnsi="Arial" w:cs="Arial"/>
          <w:sz w:val="24"/>
          <w:szCs w:val="24"/>
        </w:rPr>
        <w:t xml:space="preserve"> </w:t>
      </w:r>
    </w:p>
    <w:p w14:paraId="24651498" w14:textId="77777777" w:rsidR="00375A71" w:rsidRPr="00E6165C" w:rsidRDefault="00375A71" w:rsidP="00375A71">
      <w:pPr>
        <w:spacing w:after="0" w:line="240" w:lineRule="auto"/>
        <w:rPr>
          <w:rFonts w:ascii="Arial" w:eastAsia="Times New Roman" w:hAnsi="Arial" w:cs="Arial"/>
          <w:sz w:val="24"/>
          <w:szCs w:val="24"/>
          <w:u w:val="single"/>
          <w:lang w:bidi="ar-SA"/>
        </w:rPr>
      </w:pPr>
    </w:p>
    <w:p w14:paraId="54D3CA02" w14:textId="77777777" w:rsidR="00375A71" w:rsidRPr="00E6165C" w:rsidRDefault="00375A71" w:rsidP="00375A71">
      <w:pPr>
        <w:spacing w:after="0" w:line="240" w:lineRule="auto"/>
        <w:rPr>
          <w:rFonts w:ascii="Arial" w:eastAsia="Times New Roman" w:hAnsi="Arial" w:cs="Arial"/>
          <w:sz w:val="24"/>
          <w:szCs w:val="24"/>
          <w:u w:val="single"/>
          <w:lang w:bidi="ar-SA"/>
        </w:rPr>
      </w:pPr>
      <w:bookmarkStart w:id="4" w:name="Researchoversight"/>
      <w:r w:rsidRPr="00E6165C">
        <w:rPr>
          <w:rFonts w:ascii="Arial" w:eastAsia="Times New Roman" w:hAnsi="Arial" w:cs="Arial"/>
          <w:sz w:val="24"/>
          <w:szCs w:val="24"/>
          <w:u w:val="single"/>
          <w:lang w:bidi="ar-SA"/>
        </w:rPr>
        <w:t>Research Oversight</w:t>
      </w:r>
    </w:p>
    <w:bookmarkEnd w:id="4"/>
    <w:p w14:paraId="5BF990CE" w14:textId="77777777" w:rsidR="00375A71" w:rsidRPr="00E6165C" w:rsidRDefault="00375A71" w:rsidP="00375A71">
      <w:pPr>
        <w:spacing w:after="0" w:line="240" w:lineRule="auto"/>
        <w:rPr>
          <w:rFonts w:ascii="Arial" w:hAnsi="Arial" w:cs="Arial"/>
          <w:sz w:val="24"/>
          <w:szCs w:val="24"/>
        </w:rPr>
      </w:pPr>
    </w:p>
    <w:p w14:paraId="10352620"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The Institutional Official (IO) is responsible for the oversight of the conduct of research at University of Miami to ensure the safe and appropriate performance of the research and at all Component and Affiliate Institutions, including:</w:t>
      </w:r>
    </w:p>
    <w:p w14:paraId="620453B1" w14:textId="77777777" w:rsidR="00375A71" w:rsidRPr="00E6165C" w:rsidRDefault="00375A71" w:rsidP="00375A71">
      <w:pPr>
        <w:spacing w:after="0" w:line="240" w:lineRule="auto"/>
        <w:rPr>
          <w:rFonts w:ascii="Arial" w:hAnsi="Arial" w:cs="Arial"/>
          <w:sz w:val="24"/>
          <w:szCs w:val="24"/>
        </w:rPr>
      </w:pPr>
    </w:p>
    <w:p w14:paraId="5B0BA4BC" w14:textId="77777777" w:rsidR="00375A71" w:rsidRPr="00E6165C" w:rsidRDefault="00375A71" w:rsidP="00375A71">
      <w:pPr>
        <w:numPr>
          <w:ilvl w:val="2"/>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 xml:space="preserve">Ensuring the initial and ongoing qualifications of investigators and research staff: </w:t>
      </w:r>
    </w:p>
    <w:p w14:paraId="68BBAEAA" w14:textId="77777777" w:rsidR="00375A71" w:rsidRPr="00E6165C" w:rsidRDefault="00375A71" w:rsidP="00375A71">
      <w:pPr>
        <w:numPr>
          <w:ilvl w:val="2"/>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 xml:space="preserve">Overseeing the conduct of the research: The IO, supported by the Human Subject Research Office and the Office of Research Compliance and Quality Assurance, is charged with overseeing all research at the University of Miami. </w:t>
      </w:r>
    </w:p>
    <w:p w14:paraId="03289EF5" w14:textId="77777777" w:rsidR="00375A71" w:rsidRPr="00E6165C" w:rsidRDefault="00375A71" w:rsidP="00375A71">
      <w:pPr>
        <w:numPr>
          <w:ilvl w:val="2"/>
          <w:numId w:val="5"/>
        </w:numPr>
        <w:ind w:left="900" w:hanging="630"/>
        <w:contextualSpacing/>
        <w:rPr>
          <w:rFonts w:ascii="Arial" w:hAnsi="Arial" w:cs="Arial"/>
          <w:sz w:val="24"/>
          <w:szCs w:val="24"/>
        </w:rPr>
      </w:pPr>
      <w:r w:rsidRPr="00E6165C">
        <w:rPr>
          <w:rFonts w:ascii="Arial" w:hAnsi="Arial" w:cs="Arial"/>
          <w:sz w:val="24"/>
          <w:szCs w:val="24"/>
        </w:rPr>
        <w:t xml:space="preserve">Monitoring protocol compliance:  The Research Compliance and Quality Assurance conducts both routine and for-cause audits.  Any study can be selected for auditing, including studies that rely on external IRBs.  Note:  The Clinical Research Operations and Regulatory Support conducts study monitoring of clinical investigations involving an investigator held IND or IDE. </w:t>
      </w:r>
    </w:p>
    <w:p w14:paraId="4866BF65" w14:textId="5FA370BA" w:rsidR="00375A71" w:rsidRPr="00E6165C" w:rsidRDefault="00375A71" w:rsidP="00375A71">
      <w:pPr>
        <w:numPr>
          <w:ilvl w:val="3"/>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 xml:space="preserve">Serious or Continuing Noncompliance:  Under the direction of the IO, the Compliance Review Committee is charged with reviewing any complaints, reports or allegation that may rise to the level of serious and/or continuing noncompliance. Refer to HRP-024 SOP: New Information and </w:t>
      </w:r>
      <w:r w:rsidR="008365CA">
        <w:rPr>
          <w:rFonts w:ascii="Arial" w:hAnsi="Arial" w:cs="Arial"/>
          <w:sz w:val="24"/>
          <w:szCs w:val="24"/>
        </w:rPr>
        <w:t xml:space="preserve">the Investigator </w:t>
      </w:r>
      <w:r w:rsidR="008365CA">
        <w:rPr>
          <w:rFonts w:ascii="Arial" w:hAnsi="Arial" w:cs="Arial"/>
          <w:sz w:val="24"/>
          <w:szCs w:val="24"/>
        </w:rPr>
        <w:lastRenderedPageBreak/>
        <w:t xml:space="preserve">manual </w:t>
      </w:r>
      <w:r w:rsidRPr="00E6165C">
        <w:rPr>
          <w:rFonts w:ascii="Arial" w:hAnsi="Arial" w:cs="Arial"/>
          <w:sz w:val="24"/>
          <w:szCs w:val="24"/>
        </w:rPr>
        <w:t>for details on how the IO identifies and manages serious or continuing noncompliance.</w:t>
      </w:r>
    </w:p>
    <w:p w14:paraId="28C96DD9" w14:textId="77777777" w:rsidR="00375A71" w:rsidRPr="00E6165C" w:rsidRDefault="00375A71" w:rsidP="00375A71">
      <w:pPr>
        <w:numPr>
          <w:ilvl w:val="3"/>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 xml:space="preserve">Unanticipated Problems Involving Risks to Subjects or Others (UPIRTSO) – the IRB reviews reports of new information and considers whether the information meets the regulatory criteria for a UPIRTSO.  See HRP-024 SOP:  new Information for additional information.   </w:t>
      </w:r>
    </w:p>
    <w:p w14:paraId="5287D461" w14:textId="77777777" w:rsidR="00375A71" w:rsidRPr="00E6165C" w:rsidRDefault="00375A71" w:rsidP="00375A71">
      <w:pPr>
        <w:numPr>
          <w:ilvl w:val="2"/>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 xml:space="preserve">Maintaining compliance with state, local, or institutional requirements related to the protection of human subjects: The University of Miami Investigator Manual incorporates all local and state requirements related to the protection of human subjects. The Human Subject Research Office serves as a liaison between the University research community as well as a resource to answer any questions related to such local requirements. </w:t>
      </w:r>
    </w:p>
    <w:p w14:paraId="3FEB7012" w14:textId="77777777" w:rsidR="00375A71" w:rsidRPr="00E6165C" w:rsidRDefault="00375A71" w:rsidP="00375A71">
      <w:pPr>
        <w:numPr>
          <w:ilvl w:val="2"/>
          <w:numId w:val="5"/>
        </w:numPr>
        <w:spacing w:after="0" w:line="240" w:lineRule="auto"/>
        <w:ind w:left="900" w:hanging="630"/>
        <w:contextualSpacing/>
        <w:rPr>
          <w:rFonts w:ascii="Arial" w:hAnsi="Arial" w:cs="Arial"/>
          <w:sz w:val="24"/>
          <w:szCs w:val="24"/>
        </w:rPr>
      </w:pPr>
      <w:r w:rsidRPr="00E6165C">
        <w:rPr>
          <w:rFonts w:ascii="Arial" w:hAnsi="Arial" w:cs="Arial"/>
          <w:sz w:val="24"/>
          <w:szCs w:val="24"/>
        </w:rPr>
        <w:t>Providing a mechanism to receive and address concerns from local study participants and others about the conduct of the research: Anyone who wishes to make an anonymous report — via the web or by telephone — ‘can use ‘</w:t>
      </w:r>
      <w:proofErr w:type="spellStart"/>
      <w:r w:rsidRPr="00E6165C">
        <w:rPr>
          <w:rFonts w:ascii="Arial" w:hAnsi="Arial" w:cs="Arial"/>
          <w:sz w:val="24"/>
          <w:szCs w:val="24"/>
        </w:rPr>
        <w:t>CaneWatch</w:t>
      </w:r>
      <w:proofErr w:type="spellEnd"/>
      <w:r w:rsidRPr="00E6165C">
        <w:rPr>
          <w:rFonts w:ascii="Arial" w:hAnsi="Arial" w:cs="Arial"/>
          <w:sz w:val="24"/>
          <w:szCs w:val="24"/>
        </w:rPr>
        <w:t xml:space="preserve"> to report concerns related to violations of policies and procedures, rules and regulations, or other irregularities/improprieties. The Human Subject Research Office also receives and responds to complaints or inquiries received regarding research conducted at or by the University of Miami or Jackson Health System</w:t>
      </w:r>
    </w:p>
    <w:p w14:paraId="46372C6B" w14:textId="77777777" w:rsidR="00375A71" w:rsidRPr="00E6165C" w:rsidRDefault="00375A71" w:rsidP="00375A71">
      <w:pPr>
        <w:spacing w:after="0" w:line="240" w:lineRule="auto"/>
        <w:rPr>
          <w:rFonts w:ascii="Arial" w:hAnsi="Arial" w:cs="Arial"/>
          <w:sz w:val="24"/>
          <w:szCs w:val="24"/>
          <w:u w:val="single"/>
        </w:rPr>
      </w:pPr>
    </w:p>
    <w:p w14:paraId="4DAFE275" w14:textId="1793E77D" w:rsidR="00375A71" w:rsidRPr="00FB45D1" w:rsidRDefault="00375A71" w:rsidP="00FB45D1">
      <w:pPr>
        <w:spacing w:after="0" w:line="240" w:lineRule="auto"/>
        <w:jc w:val="center"/>
        <w:rPr>
          <w:rFonts w:ascii="Arial" w:eastAsia="Times New Roman" w:hAnsi="Arial" w:cs="Arial"/>
          <w:b/>
          <w:bCs/>
          <w:sz w:val="24"/>
          <w:szCs w:val="24"/>
          <w:u w:val="single"/>
          <w:lang w:bidi="ar-SA"/>
        </w:rPr>
      </w:pPr>
      <w:bookmarkStart w:id="5" w:name="Translationrequirements"/>
      <w:r w:rsidRPr="00FB45D1">
        <w:rPr>
          <w:rFonts w:ascii="Arial" w:eastAsia="Times New Roman" w:hAnsi="Arial" w:cs="Arial"/>
          <w:b/>
          <w:bCs/>
          <w:sz w:val="24"/>
          <w:szCs w:val="24"/>
          <w:u w:val="single"/>
          <w:lang w:bidi="ar-SA"/>
        </w:rPr>
        <w:t>Translation Requirements for Informed Consent Document</w:t>
      </w:r>
    </w:p>
    <w:bookmarkEnd w:id="5"/>
    <w:p w14:paraId="6F8F7752" w14:textId="77777777" w:rsidR="00375A71" w:rsidRPr="00E6165C" w:rsidRDefault="00375A71" w:rsidP="00375A71">
      <w:pPr>
        <w:spacing w:after="0" w:line="240" w:lineRule="auto"/>
        <w:rPr>
          <w:rFonts w:ascii="Arial" w:hAnsi="Arial" w:cs="Arial"/>
          <w:sz w:val="24"/>
          <w:szCs w:val="24"/>
        </w:rPr>
      </w:pPr>
    </w:p>
    <w:p w14:paraId="6DE1764E"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Informed consent documents should be presented to prospective subjects in a manner and language that they can understand.  The same is true for other research related documents such as interviews or surveys.  Every effort should be made to express a scientific concept/idea in lay terms at an approximate 8th grade reading and comprehension level.</w:t>
      </w:r>
    </w:p>
    <w:p w14:paraId="7D846F5D" w14:textId="77777777" w:rsidR="00375A71" w:rsidRPr="00E6165C" w:rsidRDefault="00375A71" w:rsidP="00375A71">
      <w:pPr>
        <w:spacing w:after="0" w:line="240" w:lineRule="auto"/>
        <w:rPr>
          <w:rFonts w:ascii="Arial" w:hAnsi="Arial" w:cs="Arial"/>
          <w:sz w:val="24"/>
          <w:szCs w:val="24"/>
        </w:rPr>
      </w:pPr>
    </w:p>
    <w:p w14:paraId="5CB14BAD" w14:textId="77777777" w:rsidR="00375A71" w:rsidRPr="00E6165C" w:rsidRDefault="00375A71" w:rsidP="00375A71">
      <w:pPr>
        <w:rPr>
          <w:rFonts w:ascii="Arial" w:eastAsia="Times New Roman" w:hAnsi="Arial" w:cs="Arial"/>
          <w:sz w:val="24"/>
          <w:szCs w:val="24"/>
          <w:lang w:bidi="ar-SA"/>
        </w:rPr>
      </w:pPr>
      <w:r w:rsidRPr="00E6165C">
        <w:rPr>
          <w:rFonts w:ascii="Arial" w:eastAsia="Times New Roman" w:hAnsi="Arial" w:cs="Arial"/>
          <w:sz w:val="24"/>
          <w:szCs w:val="24"/>
          <w:lang w:bidi="ar-SA"/>
        </w:rPr>
        <w:t>If potential subject cannot read English</w:t>
      </w:r>
    </w:p>
    <w:p w14:paraId="18B126A8" w14:textId="77777777" w:rsidR="00375A71" w:rsidRPr="00E6165C" w:rsidRDefault="00375A71" w:rsidP="00375A71">
      <w:pPr>
        <w:numPr>
          <w:ilvl w:val="0"/>
          <w:numId w:val="7"/>
        </w:numPr>
        <w:spacing w:after="0" w:line="240" w:lineRule="auto"/>
        <w:contextualSpacing/>
        <w:rPr>
          <w:rFonts w:ascii="Arial" w:hAnsi="Arial" w:cs="Arial"/>
          <w:sz w:val="24"/>
          <w:szCs w:val="24"/>
        </w:rPr>
      </w:pPr>
      <w:r w:rsidRPr="00E6165C">
        <w:rPr>
          <w:rFonts w:ascii="Arial" w:hAnsi="Arial" w:cs="Arial"/>
          <w:sz w:val="24"/>
          <w:szCs w:val="24"/>
        </w:rPr>
        <w:t>But can read another language – Written consent should be obtained in the language the subject can read</w:t>
      </w:r>
    </w:p>
    <w:p w14:paraId="5F24C9B4" w14:textId="77777777" w:rsidR="00375A71" w:rsidRPr="00E6165C" w:rsidRDefault="00375A71" w:rsidP="00375A71">
      <w:pPr>
        <w:numPr>
          <w:ilvl w:val="0"/>
          <w:numId w:val="6"/>
        </w:numPr>
        <w:contextualSpacing/>
        <w:rPr>
          <w:rFonts w:ascii="Arial" w:hAnsi="Arial" w:cs="Arial"/>
          <w:sz w:val="24"/>
          <w:szCs w:val="24"/>
        </w:rPr>
      </w:pPr>
      <w:r w:rsidRPr="00E6165C">
        <w:rPr>
          <w:rFonts w:ascii="Arial" w:hAnsi="Arial" w:cs="Arial"/>
          <w:sz w:val="24"/>
          <w:szCs w:val="24"/>
        </w:rPr>
        <w:t xml:space="preserve">But can fully understand spoken English </w:t>
      </w:r>
    </w:p>
    <w:p w14:paraId="215AF3F5"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Read the English version of the written consent document to the subject</w:t>
      </w:r>
    </w:p>
    <w:p w14:paraId="394DB141"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 xml:space="preserve">Answer the subject’s questions </w:t>
      </w:r>
    </w:p>
    <w:p w14:paraId="7495EDBE"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Perform “</w:t>
      </w:r>
      <w:hyperlink r:id="rId8" w:history="1">
        <w:r w:rsidRPr="00E6165C">
          <w:rPr>
            <w:rFonts w:ascii="Arial" w:hAnsi="Arial" w:cs="Arial"/>
            <w:sz w:val="24"/>
            <w:szCs w:val="24"/>
            <w:u w:val="single"/>
          </w:rPr>
          <w:t>Teach-Back”</w:t>
        </w:r>
      </w:hyperlink>
      <w:r w:rsidRPr="00E6165C">
        <w:rPr>
          <w:rFonts w:ascii="Arial" w:hAnsi="Arial" w:cs="Arial"/>
          <w:sz w:val="24"/>
          <w:szCs w:val="24"/>
        </w:rPr>
        <w:t xml:space="preserve"> to assess the subject’s understanding  </w:t>
      </w:r>
    </w:p>
    <w:p w14:paraId="36CE77C7"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 xml:space="preserve">Document the subject’s ability to understand English </w:t>
      </w:r>
    </w:p>
    <w:p w14:paraId="29D5DA8C"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Ensure a witness observes the signatures of the subject and the person who obtains consent</w:t>
      </w:r>
    </w:p>
    <w:p w14:paraId="0C2DEAC1"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 xml:space="preserve">Obtain the signature of the witness </w:t>
      </w:r>
    </w:p>
    <w:p w14:paraId="5893A2F0" w14:textId="77777777" w:rsidR="00375A71" w:rsidRPr="00E6165C" w:rsidRDefault="00375A71" w:rsidP="00375A71">
      <w:pPr>
        <w:numPr>
          <w:ilvl w:val="0"/>
          <w:numId w:val="6"/>
        </w:numPr>
        <w:contextualSpacing/>
        <w:rPr>
          <w:rFonts w:ascii="Arial" w:hAnsi="Arial" w:cs="Arial"/>
          <w:sz w:val="24"/>
          <w:szCs w:val="24"/>
        </w:rPr>
      </w:pPr>
      <w:r w:rsidRPr="00E6165C">
        <w:rPr>
          <w:rFonts w:ascii="Arial" w:hAnsi="Arial" w:cs="Arial"/>
          <w:sz w:val="24"/>
          <w:szCs w:val="24"/>
        </w:rPr>
        <w:t>And cannot read any other language and does not understand spoken English</w:t>
      </w:r>
    </w:p>
    <w:p w14:paraId="32DEAD33"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Ensure a translator reads to the subject a consent form that has been translated into a language the subject understands</w:t>
      </w:r>
    </w:p>
    <w:p w14:paraId="23A75977"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lastRenderedPageBreak/>
        <w:t xml:space="preserve">Use the translator to answer the subject’s questions </w:t>
      </w:r>
    </w:p>
    <w:p w14:paraId="661FFF32"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Perform  “</w:t>
      </w:r>
      <w:hyperlink r:id="rId9" w:history="1">
        <w:r w:rsidRPr="00E6165C">
          <w:rPr>
            <w:rFonts w:ascii="Arial" w:hAnsi="Arial" w:cs="Arial"/>
            <w:sz w:val="24"/>
            <w:szCs w:val="24"/>
            <w:u w:val="single"/>
          </w:rPr>
          <w:t>Teach-Back”</w:t>
        </w:r>
      </w:hyperlink>
      <w:r w:rsidRPr="00E6165C">
        <w:rPr>
          <w:rFonts w:ascii="Arial" w:hAnsi="Arial" w:cs="Arial"/>
          <w:sz w:val="24"/>
          <w:szCs w:val="24"/>
        </w:rPr>
        <w:t xml:space="preserve"> to assess the subject’s understanding  </w:t>
      </w:r>
    </w:p>
    <w:p w14:paraId="748E209D"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Document the subject’s ability to understand the alternate language</w:t>
      </w:r>
    </w:p>
    <w:p w14:paraId="0B86261E"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Ensure a witness observes the signatures of the subject and the person who obtains consent</w:t>
      </w:r>
    </w:p>
    <w:p w14:paraId="347102C6" w14:textId="77777777" w:rsidR="00375A71" w:rsidRPr="00E6165C" w:rsidRDefault="00375A71" w:rsidP="00375A71">
      <w:pPr>
        <w:numPr>
          <w:ilvl w:val="1"/>
          <w:numId w:val="6"/>
        </w:numPr>
        <w:contextualSpacing/>
        <w:rPr>
          <w:rFonts w:ascii="Arial" w:hAnsi="Arial" w:cs="Arial"/>
          <w:sz w:val="24"/>
          <w:szCs w:val="24"/>
        </w:rPr>
      </w:pPr>
      <w:r w:rsidRPr="00E6165C">
        <w:rPr>
          <w:rFonts w:ascii="Arial" w:hAnsi="Arial" w:cs="Arial"/>
          <w:sz w:val="24"/>
          <w:szCs w:val="24"/>
        </w:rPr>
        <w:t xml:space="preserve">Obtain the signature of the witness </w:t>
      </w:r>
    </w:p>
    <w:p w14:paraId="6E843068" w14:textId="77777777" w:rsidR="00375A71" w:rsidRPr="00E6165C" w:rsidRDefault="00375A71" w:rsidP="00375A71">
      <w:pPr>
        <w:spacing w:after="0" w:line="240" w:lineRule="auto"/>
        <w:rPr>
          <w:rFonts w:ascii="Arial" w:eastAsia="Times New Roman" w:hAnsi="Arial" w:cs="Arial"/>
          <w:sz w:val="24"/>
          <w:szCs w:val="24"/>
          <w:lang w:bidi="ar-SA"/>
        </w:rPr>
      </w:pPr>
    </w:p>
    <w:p w14:paraId="6041F4C0"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 xml:space="preserve">Translations Requirements </w:t>
      </w:r>
    </w:p>
    <w:p w14:paraId="5D57440A" w14:textId="77777777" w:rsidR="00375A71" w:rsidRPr="00E6165C" w:rsidRDefault="00375A71" w:rsidP="00375A71">
      <w:pPr>
        <w:spacing w:after="0" w:line="240" w:lineRule="auto"/>
        <w:rPr>
          <w:rFonts w:ascii="Arial" w:hAnsi="Arial" w:cs="Arial"/>
          <w:sz w:val="24"/>
          <w:szCs w:val="24"/>
        </w:rPr>
      </w:pPr>
    </w:p>
    <w:p w14:paraId="77DA08C0"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 xml:space="preserve">Due to the diverse culture of the Miami area, the following language translations are routinely provided: </w:t>
      </w:r>
    </w:p>
    <w:p w14:paraId="028E94C8" w14:textId="77777777" w:rsidR="00375A71" w:rsidRPr="00E6165C" w:rsidRDefault="00375A71" w:rsidP="00375A71">
      <w:pPr>
        <w:numPr>
          <w:ilvl w:val="0"/>
          <w:numId w:val="8"/>
        </w:numPr>
        <w:spacing w:after="0" w:line="240" w:lineRule="auto"/>
        <w:ind w:left="900"/>
        <w:contextualSpacing/>
        <w:rPr>
          <w:rFonts w:ascii="Arial" w:hAnsi="Arial" w:cs="Arial"/>
          <w:sz w:val="24"/>
          <w:szCs w:val="24"/>
        </w:rPr>
      </w:pPr>
      <w:r w:rsidRPr="00E6165C">
        <w:rPr>
          <w:rFonts w:ascii="Arial" w:hAnsi="Arial" w:cs="Arial"/>
          <w:sz w:val="24"/>
          <w:szCs w:val="24"/>
        </w:rPr>
        <w:t>Spanish</w:t>
      </w:r>
    </w:p>
    <w:p w14:paraId="32EE66D8" w14:textId="77777777" w:rsidR="00375A71" w:rsidRPr="00E6165C" w:rsidRDefault="00375A71" w:rsidP="00375A71">
      <w:pPr>
        <w:numPr>
          <w:ilvl w:val="0"/>
          <w:numId w:val="8"/>
        </w:numPr>
        <w:spacing w:after="0" w:line="240" w:lineRule="auto"/>
        <w:ind w:left="900"/>
        <w:contextualSpacing/>
        <w:rPr>
          <w:rFonts w:ascii="Arial" w:hAnsi="Arial" w:cs="Arial"/>
          <w:sz w:val="24"/>
          <w:szCs w:val="24"/>
        </w:rPr>
      </w:pPr>
      <w:r w:rsidRPr="00E6165C">
        <w:rPr>
          <w:rFonts w:ascii="Arial" w:hAnsi="Arial" w:cs="Arial"/>
          <w:sz w:val="24"/>
          <w:szCs w:val="24"/>
        </w:rPr>
        <w:t xml:space="preserve">Haitian Creole </w:t>
      </w:r>
    </w:p>
    <w:p w14:paraId="7EEC2A0F" w14:textId="77777777" w:rsidR="00375A71" w:rsidRPr="00E6165C" w:rsidRDefault="00375A71" w:rsidP="00375A71">
      <w:pPr>
        <w:numPr>
          <w:ilvl w:val="0"/>
          <w:numId w:val="8"/>
        </w:numPr>
        <w:spacing w:after="0" w:line="240" w:lineRule="auto"/>
        <w:ind w:left="900"/>
        <w:contextualSpacing/>
        <w:rPr>
          <w:rFonts w:ascii="Arial" w:hAnsi="Arial" w:cs="Arial"/>
          <w:sz w:val="24"/>
          <w:szCs w:val="24"/>
        </w:rPr>
      </w:pPr>
      <w:r w:rsidRPr="00E6165C">
        <w:rPr>
          <w:rFonts w:ascii="Arial" w:hAnsi="Arial" w:cs="Arial"/>
          <w:sz w:val="24"/>
          <w:szCs w:val="24"/>
        </w:rPr>
        <w:t>Portuguese</w:t>
      </w:r>
    </w:p>
    <w:p w14:paraId="45167E21" w14:textId="77777777" w:rsidR="00375A71" w:rsidRPr="00E6165C" w:rsidRDefault="00375A71" w:rsidP="00375A71">
      <w:pPr>
        <w:spacing w:after="0" w:line="240" w:lineRule="auto"/>
        <w:rPr>
          <w:rFonts w:ascii="Arial" w:hAnsi="Arial" w:cs="Arial"/>
          <w:sz w:val="24"/>
          <w:szCs w:val="24"/>
        </w:rPr>
      </w:pPr>
    </w:p>
    <w:p w14:paraId="0AF19B6C"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For studies involving an IND or IDE, translations must be:</w:t>
      </w:r>
    </w:p>
    <w:p w14:paraId="71E43322" w14:textId="77777777" w:rsidR="00375A71" w:rsidRPr="00E6165C" w:rsidRDefault="00375A71" w:rsidP="00375A71">
      <w:pPr>
        <w:numPr>
          <w:ilvl w:val="0"/>
          <w:numId w:val="9"/>
        </w:numPr>
        <w:spacing w:after="0" w:line="240" w:lineRule="auto"/>
        <w:ind w:left="990" w:hanging="450"/>
        <w:contextualSpacing/>
        <w:rPr>
          <w:rFonts w:ascii="Arial" w:hAnsi="Arial" w:cs="Arial"/>
          <w:sz w:val="24"/>
          <w:szCs w:val="24"/>
        </w:rPr>
      </w:pPr>
      <w:r w:rsidRPr="00E6165C">
        <w:rPr>
          <w:rFonts w:ascii="Arial" w:hAnsi="Arial" w:cs="Arial"/>
          <w:sz w:val="24"/>
          <w:szCs w:val="24"/>
        </w:rPr>
        <w:t>Performed by a certified translator approved to conduct such business at the UM</w:t>
      </w:r>
    </w:p>
    <w:p w14:paraId="5A8A8255" w14:textId="77777777" w:rsidR="00375A71" w:rsidRPr="00E6165C" w:rsidRDefault="00375A71" w:rsidP="00375A71">
      <w:pPr>
        <w:numPr>
          <w:ilvl w:val="0"/>
          <w:numId w:val="9"/>
        </w:numPr>
        <w:spacing w:after="0" w:line="240" w:lineRule="auto"/>
        <w:ind w:left="990" w:hanging="450"/>
        <w:contextualSpacing/>
        <w:rPr>
          <w:rFonts w:ascii="Arial" w:hAnsi="Arial" w:cs="Arial"/>
          <w:sz w:val="24"/>
          <w:szCs w:val="24"/>
        </w:rPr>
      </w:pPr>
      <w:r w:rsidRPr="00E6165C">
        <w:rPr>
          <w:rFonts w:ascii="Arial" w:hAnsi="Arial" w:cs="Arial"/>
          <w:sz w:val="24"/>
          <w:szCs w:val="24"/>
        </w:rPr>
        <w:t>Accompanied by a signed translator certification statement that includes the date of translation</w:t>
      </w:r>
    </w:p>
    <w:p w14:paraId="0EB6CEC6"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 xml:space="preserve">       </w:t>
      </w:r>
    </w:p>
    <w:p w14:paraId="162737E2" w14:textId="77777777" w:rsidR="00375A71" w:rsidRPr="00E6165C" w:rsidRDefault="00375A71" w:rsidP="00375A71">
      <w:pPr>
        <w:spacing w:after="0" w:line="240" w:lineRule="auto"/>
        <w:rPr>
          <w:rFonts w:ascii="Arial" w:hAnsi="Arial" w:cs="Arial"/>
          <w:sz w:val="24"/>
          <w:szCs w:val="24"/>
        </w:rPr>
      </w:pPr>
      <w:r w:rsidRPr="00E6165C">
        <w:rPr>
          <w:rFonts w:ascii="Arial" w:hAnsi="Arial" w:cs="Arial"/>
          <w:sz w:val="24"/>
          <w:szCs w:val="24"/>
        </w:rPr>
        <w:t>For studies that do not involve an IND or IDE translations may be shown to be correct with a “back translation”</w:t>
      </w:r>
    </w:p>
    <w:p w14:paraId="7997842F" w14:textId="128D7DAE" w:rsidR="00375A71" w:rsidRDefault="00375A71" w:rsidP="00375A71">
      <w:pPr>
        <w:spacing w:after="0" w:line="240" w:lineRule="auto"/>
        <w:rPr>
          <w:rFonts w:ascii="Arial" w:eastAsia="Times New Roman" w:hAnsi="Arial" w:cs="Arial"/>
          <w:sz w:val="24"/>
          <w:szCs w:val="24"/>
          <w:u w:val="single"/>
          <w:lang w:bidi="ar-SA"/>
        </w:rPr>
      </w:pPr>
    </w:p>
    <w:p w14:paraId="0426FF05" w14:textId="12D58F30" w:rsidR="007271A8" w:rsidRPr="00123536" w:rsidRDefault="007271A8" w:rsidP="007271A8">
      <w:pPr>
        <w:spacing w:after="0" w:line="240" w:lineRule="auto"/>
        <w:rPr>
          <w:rFonts w:ascii="Arial" w:eastAsia="Times New Roman" w:hAnsi="Arial" w:cs="Arial"/>
          <w:b/>
          <w:bCs/>
          <w:sz w:val="24"/>
          <w:szCs w:val="24"/>
          <w:u w:val="single"/>
          <w:lang w:bidi="ar-SA"/>
        </w:rPr>
      </w:pPr>
      <w:r w:rsidRPr="00123536">
        <w:rPr>
          <w:rFonts w:ascii="Arial" w:eastAsia="Times New Roman" w:hAnsi="Arial" w:cs="Arial"/>
          <w:b/>
          <w:bCs/>
          <w:sz w:val="24"/>
          <w:szCs w:val="24"/>
          <w:u w:val="single"/>
          <w:lang w:bidi="ar-SA"/>
        </w:rPr>
        <w:t xml:space="preserve">Consent to Contact </w:t>
      </w:r>
      <w:r w:rsidR="00AA34C2">
        <w:rPr>
          <w:rFonts w:ascii="Arial" w:eastAsia="Times New Roman" w:hAnsi="Arial" w:cs="Arial"/>
          <w:b/>
          <w:bCs/>
          <w:sz w:val="24"/>
          <w:szCs w:val="24"/>
          <w:u w:val="single"/>
          <w:lang w:bidi="ar-SA"/>
        </w:rPr>
        <w:t>as Method of</w:t>
      </w:r>
      <w:r w:rsidRPr="00123536">
        <w:rPr>
          <w:rFonts w:ascii="Arial" w:eastAsia="Times New Roman" w:hAnsi="Arial" w:cs="Arial"/>
          <w:b/>
          <w:bCs/>
          <w:sz w:val="24"/>
          <w:szCs w:val="24"/>
          <w:u w:val="single"/>
          <w:lang w:bidi="ar-SA"/>
        </w:rPr>
        <w:t xml:space="preserve"> </w:t>
      </w:r>
      <w:r w:rsidRPr="00123536">
        <w:rPr>
          <w:rFonts w:ascii="Arial" w:eastAsia="Times New Roman" w:hAnsi="Arial" w:cs="Arial"/>
          <w:b/>
          <w:bCs/>
          <w:sz w:val="24"/>
          <w:szCs w:val="24"/>
          <w:u w:val="single"/>
          <w:lang w:bidi="ar-SA"/>
        </w:rPr>
        <w:t xml:space="preserve">Recruitment </w:t>
      </w:r>
    </w:p>
    <w:p w14:paraId="6712031C" w14:textId="7B6C316E" w:rsidR="007271A8"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The University of Miami allows use of </w:t>
      </w:r>
      <w:r w:rsidR="00AA34C2" w:rsidRPr="00123536">
        <w:rPr>
          <w:rFonts w:ascii="Arial" w:eastAsia="Times New Roman" w:hAnsi="Arial" w:cs="Arial"/>
          <w:sz w:val="24"/>
          <w:szCs w:val="24"/>
          <w:lang w:bidi="ar-SA"/>
        </w:rPr>
        <w:t xml:space="preserve">the </w:t>
      </w:r>
      <w:r w:rsidRPr="00123536">
        <w:rPr>
          <w:rFonts w:ascii="Arial" w:eastAsia="Times New Roman" w:hAnsi="Arial" w:cs="Arial"/>
          <w:sz w:val="24"/>
          <w:szCs w:val="24"/>
          <w:lang w:bidi="ar-SA"/>
        </w:rPr>
        <w:t>consent to contact process for recruitment.</w:t>
      </w:r>
    </w:p>
    <w:p w14:paraId="30745769" w14:textId="193F1C4D" w:rsidR="00AA34C2"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Investigators can submit a request to obtain a list of potential participants from the University’s Data Brokers and use the Consent to Contact initiative to contact the patients in the list. </w:t>
      </w:r>
      <w:r w:rsidR="00AA34C2" w:rsidRPr="00123536">
        <w:rPr>
          <w:rFonts w:ascii="Arial" w:eastAsia="Times New Roman" w:hAnsi="Arial" w:cs="Arial"/>
          <w:sz w:val="24"/>
          <w:szCs w:val="24"/>
          <w:lang w:bidi="ar-SA"/>
        </w:rPr>
        <w:t xml:space="preserve">Investigators </w:t>
      </w:r>
      <w:r w:rsidRPr="00123536">
        <w:rPr>
          <w:rFonts w:ascii="Arial" w:eastAsia="Times New Roman" w:hAnsi="Arial" w:cs="Arial"/>
          <w:sz w:val="24"/>
          <w:szCs w:val="24"/>
          <w:lang w:bidi="ar-SA"/>
        </w:rPr>
        <w:t xml:space="preserve">must: </w:t>
      </w:r>
    </w:p>
    <w:p w14:paraId="62108C77" w14:textId="4C079900" w:rsidR="00AA34C2"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Include information about using Consent to Contact for recruitment in </w:t>
      </w:r>
      <w:r w:rsidR="00AA34C2" w:rsidRPr="00123536">
        <w:rPr>
          <w:rFonts w:ascii="Arial" w:eastAsia="Times New Roman" w:hAnsi="Arial" w:cs="Arial"/>
          <w:sz w:val="24"/>
          <w:szCs w:val="24"/>
          <w:lang w:bidi="ar-SA"/>
        </w:rPr>
        <w:t>the</w:t>
      </w:r>
      <w:r w:rsidRPr="00123536">
        <w:rPr>
          <w:rFonts w:ascii="Arial" w:eastAsia="Times New Roman" w:hAnsi="Arial" w:cs="Arial"/>
          <w:sz w:val="24"/>
          <w:szCs w:val="24"/>
          <w:lang w:bidi="ar-SA"/>
        </w:rPr>
        <w:t xml:space="preserve"> </w:t>
      </w:r>
      <w:proofErr w:type="gramStart"/>
      <w:r w:rsidRPr="00123536">
        <w:rPr>
          <w:rFonts w:ascii="Arial" w:eastAsia="Times New Roman" w:hAnsi="Arial" w:cs="Arial"/>
          <w:sz w:val="24"/>
          <w:szCs w:val="24"/>
          <w:lang w:bidi="ar-SA"/>
        </w:rPr>
        <w:t>protocol;</w:t>
      </w:r>
      <w:proofErr w:type="gramEnd"/>
      <w:r w:rsidRPr="00123536">
        <w:rPr>
          <w:rFonts w:ascii="Arial" w:eastAsia="Times New Roman" w:hAnsi="Arial" w:cs="Arial"/>
          <w:sz w:val="24"/>
          <w:szCs w:val="24"/>
          <w:lang w:bidi="ar-SA"/>
        </w:rPr>
        <w:t xml:space="preserve"> </w:t>
      </w:r>
    </w:p>
    <w:p w14:paraId="582871CD" w14:textId="77777777" w:rsidR="00AA34C2"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Scientifically justify the use of this initiative as a method of </w:t>
      </w:r>
      <w:proofErr w:type="gramStart"/>
      <w:r w:rsidRPr="00123536">
        <w:rPr>
          <w:rFonts w:ascii="Arial" w:eastAsia="Times New Roman" w:hAnsi="Arial" w:cs="Arial"/>
          <w:sz w:val="24"/>
          <w:szCs w:val="24"/>
          <w:lang w:bidi="ar-SA"/>
        </w:rPr>
        <w:t>recruitment;</w:t>
      </w:r>
      <w:proofErr w:type="gramEnd"/>
      <w:r w:rsidRPr="00123536">
        <w:rPr>
          <w:rFonts w:ascii="Arial" w:eastAsia="Times New Roman" w:hAnsi="Arial" w:cs="Arial"/>
          <w:sz w:val="24"/>
          <w:szCs w:val="24"/>
          <w:lang w:bidi="ar-SA"/>
        </w:rPr>
        <w:t xml:space="preserve"> </w:t>
      </w:r>
    </w:p>
    <w:p w14:paraId="42B2B3B2" w14:textId="5801CF97" w:rsidR="00AA34C2"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Submit the approved Consent to Contact script edited for </w:t>
      </w:r>
      <w:r w:rsidR="00AA34C2" w:rsidRPr="00123536">
        <w:rPr>
          <w:rFonts w:ascii="Arial" w:eastAsia="Times New Roman" w:hAnsi="Arial" w:cs="Arial"/>
          <w:sz w:val="24"/>
          <w:szCs w:val="24"/>
          <w:lang w:bidi="ar-SA"/>
        </w:rPr>
        <w:t>the</w:t>
      </w:r>
      <w:r w:rsidRPr="00123536">
        <w:rPr>
          <w:rFonts w:ascii="Arial" w:eastAsia="Times New Roman" w:hAnsi="Arial" w:cs="Arial"/>
          <w:sz w:val="24"/>
          <w:szCs w:val="24"/>
          <w:lang w:bidi="ar-SA"/>
        </w:rPr>
        <w:t xml:space="preserve"> study along with the</w:t>
      </w:r>
    </w:p>
    <w:p w14:paraId="7D2A7634" w14:textId="135E99A7" w:rsidR="00AA34C2" w:rsidRPr="00123536" w:rsidRDefault="00AA34C2"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w:t>
      </w:r>
      <w:r w:rsidR="007271A8" w:rsidRPr="00123536">
        <w:rPr>
          <w:rFonts w:ascii="Arial" w:eastAsia="Times New Roman" w:hAnsi="Arial" w:cs="Arial"/>
          <w:sz w:val="24"/>
          <w:szCs w:val="24"/>
          <w:lang w:bidi="ar-SA"/>
        </w:rPr>
        <w:t xml:space="preserve">screening questions </w:t>
      </w:r>
      <w:r w:rsidRPr="00123536">
        <w:rPr>
          <w:rFonts w:ascii="Arial" w:eastAsia="Times New Roman" w:hAnsi="Arial" w:cs="Arial"/>
          <w:sz w:val="24"/>
          <w:szCs w:val="24"/>
          <w:lang w:bidi="ar-SA"/>
        </w:rPr>
        <w:t>that</w:t>
      </w:r>
      <w:r w:rsidR="007271A8" w:rsidRPr="00123536">
        <w:rPr>
          <w:rFonts w:ascii="Arial" w:eastAsia="Times New Roman" w:hAnsi="Arial" w:cs="Arial"/>
          <w:sz w:val="24"/>
          <w:szCs w:val="24"/>
          <w:lang w:bidi="ar-SA"/>
        </w:rPr>
        <w:t xml:space="preserve"> will</w:t>
      </w:r>
      <w:r w:rsidRPr="00123536">
        <w:rPr>
          <w:rFonts w:ascii="Arial" w:eastAsia="Times New Roman" w:hAnsi="Arial" w:cs="Arial"/>
          <w:sz w:val="24"/>
          <w:szCs w:val="24"/>
          <w:lang w:bidi="ar-SA"/>
        </w:rPr>
        <w:t xml:space="preserve"> be</w:t>
      </w:r>
      <w:r w:rsidR="007271A8" w:rsidRPr="00123536">
        <w:rPr>
          <w:rFonts w:ascii="Arial" w:eastAsia="Times New Roman" w:hAnsi="Arial" w:cs="Arial"/>
          <w:sz w:val="24"/>
          <w:szCs w:val="24"/>
          <w:lang w:bidi="ar-SA"/>
        </w:rPr>
        <w:t xml:space="preserve"> ask</w:t>
      </w:r>
      <w:r w:rsidRPr="00123536">
        <w:rPr>
          <w:rFonts w:ascii="Arial" w:eastAsia="Times New Roman" w:hAnsi="Arial" w:cs="Arial"/>
          <w:sz w:val="24"/>
          <w:szCs w:val="24"/>
          <w:lang w:bidi="ar-SA"/>
        </w:rPr>
        <w:t>ed</w:t>
      </w:r>
      <w:r w:rsidR="007271A8" w:rsidRPr="00123536">
        <w:rPr>
          <w:rFonts w:ascii="Arial" w:eastAsia="Times New Roman" w:hAnsi="Arial" w:cs="Arial"/>
          <w:sz w:val="24"/>
          <w:szCs w:val="24"/>
          <w:lang w:bidi="ar-SA"/>
        </w:rPr>
        <w:t xml:space="preserve"> during the phone call; and </w:t>
      </w:r>
    </w:p>
    <w:p w14:paraId="0E8D9771" w14:textId="77777777" w:rsidR="00AA34C2" w:rsidRPr="00123536" w:rsidRDefault="007271A8"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Provide the information needed to obtain a waiver of authorization from the IRB written </w:t>
      </w:r>
    </w:p>
    <w:p w14:paraId="4DC29E93" w14:textId="561318DD" w:rsidR="007271A8" w:rsidRPr="00123536" w:rsidRDefault="00AA34C2" w:rsidP="007271A8">
      <w:pPr>
        <w:spacing w:after="0" w:line="240" w:lineRule="auto"/>
        <w:rPr>
          <w:rFonts w:ascii="Arial" w:eastAsia="Times New Roman" w:hAnsi="Arial" w:cs="Arial"/>
          <w:sz w:val="24"/>
          <w:szCs w:val="24"/>
          <w:lang w:bidi="ar-SA"/>
        </w:rPr>
      </w:pPr>
      <w:r w:rsidRPr="00123536">
        <w:rPr>
          <w:rFonts w:ascii="Arial" w:eastAsia="Times New Roman" w:hAnsi="Arial" w:cs="Arial"/>
          <w:sz w:val="24"/>
          <w:szCs w:val="24"/>
          <w:lang w:bidi="ar-SA"/>
        </w:rPr>
        <w:t xml:space="preserve">  </w:t>
      </w:r>
      <w:r w:rsidR="007271A8" w:rsidRPr="00123536">
        <w:rPr>
          <w:rFonts w:ascii="Arial" w:eastAsia="Times New Roman" w:hAnsi="Arial" w:cs="Arial"/>
          <w:sz w:val="24"/>
          <w:szCs w:val="24"/>
          <w:lang w:bidi="ar-SA"/>
        </w:rPr>
        <w:t xml:space="preserve">confirmation included in </w:t>
      </w:r>
      <w:r w:rsidRPr="00123536">
        <w:rPr>
          <w:rFonts w:ascii="Arial" w:eastAsia="Times New Roman" w:hAnsi="Arial" w:cs="Arial"/>
          <w:sz w:val="24"/>
          <w:szCs w:val="24"/>
          <w:lang w:bidi="ar-SA"/>
        </w:rPr>
        <w:t>the</w:t>
      </w:r>
      <w:r w:rsidR="007271A8" w:rsidRPr="00123536">
        <w:rPr>
          <w:rFonts w:ascii="Arial" w:eastAsia="Times New Roman" w:hAnsi="Arial" w:cs="Arial"/>
          <w:sz w:val="24"/>
          <w:szCs w:val="24"/>
          <w:lang w:bidi="ar-SA"/>
        </w:rPr>
        <w:t xml:space="preserve"> protocol.</w:t>
      </w:r>
    </w:p>
    <w:p w14:paraId="0A09B7FE" w14:textId="77777777" w:rsidR="007271A8" w:rsidRDefault="007271A8" w:rsidP="00375A71">
      <w:pPr>
        <w:spacing w:after="0" w:line="240" w:lineRule="auto"/>
        <w:rPr>
          <w:rFonts w:ascii="Arial" w:eastAsia="Times New Roman" w:hAnsi="Arial" w:cs="Arial"/>
          <w:sz w:val="24"/>
          <w:szCs w:val="24"/>
          <w:u w:val="single"/>
          <w:lang w:bidi="ar-SA"/>
        </w:rPr>
      </w:pPr>
    </w:p>
    <w:p w14:paraId="3838DD79" w14:textId="16936A75" w:rsidR="00375A71" w:rsidRPr="00FB45D1" w:rsidRDefault="00375A71" w:rsidP="00FB45D1">
      <w:pPr>
        <w:spacing w:after="0" w:line="240" w:lineRule="auto"/>
        <w:jc w:val="center"/>
        <w:rPr>
          <w:rFonts w:ascii="Arial" w:eastAsia="Times New Roman" w:hAnsi="Arial" w:cs="Arial"/>
          <w:b/>
          <w:bCs/>
          <w:sz w:val="24"/>
          <w:szCs w:val="24"/>
          <w:u w:val="single"/>
          <w:lang w:bidi="ar-SA"/>
        </w:rPr>
      </w:pPr>
      <w:bookmarkStart w:id="6" w:name="Rquiredancillaryreviews"/>
      <w:r w:rsidRPr="00FB45D1">
        <w:rPr>
          <w:rFonts w:ascii="Arial" w:eastAsia="Times New Roman" w:hAnsi="Arial" w:cs="Arial"/>
          <w:b/>
          <w:bCs/>
          <w:sz w:val="24"/>
          <w:szCs w:val="24"/>
          <w:u w:val="single"/>
          <w:lang w:bidi="ar-SA"/>
        </w:rPr>
        <w:t>Required Ancillary Reviews</w:t>
      </w:r>
    </w:p>
    <w:bookmarkEnd w:id="6"/>
    <w:p w14:paraId="78954385" w14:textId="77777777" w:rsidR="00375A71" w:rsidRPr="00E6165C" w:rsidRDefault="00375A71" w:rsidP="00375A71">
      <w:pPr>
        <w:spacing w:after="0" w:line="240" w:lineRule="auto"/>
        <w:rPr>
          <w:rFonts w:ascii="Arial" w:hAnsi="Arial" w:cs="Arial"/>
          <w:sz w:val="24"/>
          <w:szCs w:val="24"/>
        </w:rPr>
      </w:pPr>
    </w:p>
    <w:p w14:paraId="02B2E666" w14:textId="3AC0EEBC" w:rsidR="00375A71" w:rsidRDefault="00000000" w:rsidP="00375A71">
      <w:pPr>
        <w:spacing w:after="0" w:line="240" w:lineRule="auto"/>
        <w:rPr>
          <w:rFonts w:ascii="Arial" w:eastAsia="Times New Roman" w:hAnsi="Arial" w:cs="Arial"/>
          <w:sz w:val="24"/>
          <w:szCs w:val="24"/>
          <w:u w:val="single"/>
          <w:lang w:bidi="ar-SA"/>
        </w:rPr>
      </w:pPr>
      <w:hyperlink r:id="rId10" w:history="1">
        <w:r w:rsidR="00FB45D1" w:rsidRPr="008356BB">
          <w:rPr>
            <w:rStyle w:val="Hyperlink"/>
            <w:rFonts w:ascii="Arial" w:eastAsia="Times New Roman" w:hAnsi="Arial" w:cs="Arial"/>
            <w:sz w:val="24"/>
            <w:szCs w:val="24"/>
            <w:lang w:bidi="ar-SA"/>
          </w:rPr>
          <w:t>https://hsro.uresearch.miami.edu/researchers/how-to-submit-to-the-irb/ancillary-committees/index.html</w:t>
        </w:r>
      </w:hyperlink>
    </w:p>
    <w:p w14:paraId="21644496" w14:textId="71F73991" w:rsidR="00FB45D1" w:rsidRDefault="00FB45D1" w:rsidP="00375A71">
      <w:pPr>
        <w:spacing w:after="0" w:line="240" w:lineRule="auto"/>
        <w:rPr>
          <w:rFonts w:ascii="Arial" w:eastAsia="Times New Roman" w:hAnsi="Arial" w:cs="Arial"/>
          <w:sz w:val="24"/>
          <w:szCs w:val="24"/>
          <w:u w:val="single"/>
          <w:lang w:bidi="ar-SA"/>
        </w:rPr>
      </w:pPr>
    </w:p>
    <w:p w14:paraId="346860BF" w14:textId="607D0716" w:rsidR="00FB45D1" w:rsidRDefault="00FB45D1" w:rsidP="00375A71">
      <w:pPr>
        <w:spacing w:after="0" w:line="240" w:lineRule="auto"/>
        <w:rPr>
          <w:rFonts w:ascii="Arial" w:eastAsia="Times New Roman" w:hAnsi="Arial" w:cs="Arial"/>
          <w:sz w:val="24"/>
          <w:szCs w:val="24"/>
          <w:u w:val="single"/>
          <w:lang w:bidi="ar-SA"/>
        </w:rPr>
      </w:pPr>
    </w:p>
    <w:p w14:paraId="3785CB5B" w14:textId="2905FF8B" w:rsidR="00FB45D1" w:rsidRDefault="00FB45D1" w:rsidP="00375A71">
      <w:pPr>
        <w:spacing w:after="0" w:line="240" w:lineRule="auto"/>
        <w:rPr>
          <w:rFonts w:ascii="Arial" w:eastAsia="Times New Roman" w:hAnsi="Arial" w:cs="Arial"/>
          <w:sz w:val="24"/>
          <w:szCs w:val="24"/>
          <w:u w:val="single"/>
          <w:lang w:bidi="ar-SA"/>
        </w:rPr>
      </w:pPr>
    </w:p>
    <w:p w14:paraId="65828912" w14:textId="5D552F99" w:rsidR="00FB45D1" w:rsidRDefault="00FB45D1" w:rsidP="00375A71">
      <w:pPr>
        <w:spacing w:after="0" w:line="240" w:lineRule="auto"/>
        <w:rPr>
          <w:rFonts w:ascii="Arial" w:eastAsia="Times New Roman" w:hAnsi="Arial" w:cs="Arial"/>
          <w:sz w:val="24"/>
          <w:szCs w:val="24"/>
          <w:u w:val="single"/>
          <w:lang w:bidi="ar-SA"/>
        </w:rPr>
      </w:pPr>
    </w:p>
    <w:p w14:paraId="280FE849" w14:textId="7A4AD538" w:rsidR="00FB45D1" w:rsidRDefault="00FB45D1" w:rsidP="00375A71">
      <w:pPr>
        <w:spacing w:after="0" w:line="240" w:lineRule="auto"/>
        <w:rPr>
          <w:rFonts w:ascii="Arial" w:eastAsia="Times New Roman" w:hAnsi="Arial" w:cs="Arial"/>
          <w:sz w:val="24"/>
          <w:szCs w:val="24"/>
          <w:u w:val="single"/>
          <w:lang w:bidi="ar-SA"/>
        </w:rPr>
      </w:pPr>
    </w:p>
    <w:p w14:paraId="23E2B823" w14:textId="47F8630A" w:rsidR="00FB45D1" w:rsidRDefault="00FB45D1" w:rsidP="00375A71">
      <w:pPr>
        <w:spacing w:after="0" w:line="240" w:lineRule="auto"/>
        <w:rPr>
          <w:rFonts w:ascii="Arial" w:eastAsia="Times New Roman" w:hAnsi="Arial" w:cs="Arial"/>
          <w:sz w:val="24"/>
          <w:szCs w:val="24"/>
          <w:u w:val="single"/>
          <w:lang w:bidi="ar-SA"/>
        </w:rPr>
      </w:pPr>
    </w:p>
    <w:p w14:paraId="1EFC5306" w14:textId="77777777" w:rsidR="00FB45D1" w:rsidRPr="00E6165C" w:rsidRDefault="00FB45D1" w:rsidP="00375A71">
      <w:pPr>
        <w:spacing w:after="0" w:line="240" w:lineRule="auto"/>
        <w:rPr>
          <w:rFonts w:ascii="Arial" w:eastAsia="Times New Roman" w:hAnsi="Arial" w:cs="Arial"/>
          <w:sz w:val="24"/>
          <w:szCs w:val="24"/>
          <w:u w:val="single"/>
          <w:lang w:bidi="ar-SA"/>
        </w:rPr>
      </w:pPr>
    </w:p>
    <w:p w14:paraId="243D8B95" w14:textId="77777777" w:rsidR="00375A71" w:rsidRPr="00E6165C" w:rsidRDefault="00375A71" w:rsidP="00375A71">
      <w:pPr>
        <w:spacing w:after="0" w:line="240" w:lineRule="auto"/>
        <w:jc w:val="center"/>
        <w:rPr>
          <w:rFonts w:ascii="Arial" w:eastAsia="Times New Roman" w:hAnsi="Arial" w:cs="Arial"/>
          <w:b/>
          <w:sz w:val="24"/>
          <w:szCs w:val="24"/>
          <w:u w:val="single"/>
          <w:lang w:bidi="ar-SA"/>
        </w:rPr>
      </w:pPr>
      <w:bookmarkStart w:id="7" w:name="Stateandlocallaw"/>
      <w:r w:rsidRPr="00E6165C">
        <w:rPr>
          <w:rFonts w:ascii="Arial" w:eastAsia="Times New Roman" w:hAnsi="Arial" w:cs="Arial"/>
          <w:b/>
          <w:sz w:val="24"/>
          <w:szCs w:val="24"/>
          <w:u w:val="single"/>
          <w:lang w:bidi="ar-SA"/>
        </w:rPr>
        <w:t>State and Local Law</w:t>
      </w:r>
    </w:p>
    <w:bookmarkEnd w:id="7"/>
    <w:p w14:paraId="6820AA44" w14:textId="77777777" w:rsidR="00375A71" w:rsidRPr="00E6165C" w:rsidRDefault="00375A71" w:rsidP="00375A71">
      <w:pPr>
        <w:spacing w:after="0" w:line="240" w:lineRule="auto"/>
        <w:ind w:left="720"/>
        <w:contextualSpacing/>
        <w:rPr>
          <w:rFonts w:ascii="Arial" w:hAnsi="Arial" w:cs="Arial"/>
          <w:sz w:val="24"/>
          <w:szCs w:val="24"/>
        </w:rPr>
      </w:pPr>
    </w:p>
    <w:p w14:paraId="4830CE6A" w14:textId="77777777" w:rsidR="00375A71" w:rsidRPr="00E6165C" w:rsidRDefault="00375A71" w:rsidP="00375A71">
      <w:pPr>
        <w:spacing w:after="0"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Age of majority</w:t>
      </w:r>
      <w:r w:rsidRPr="00E6165C">
        <w:rPr>
          <w:rFonts w:ascii="Arial" w:hAnsi="Arial" w:cs="Arial"/>
          <w:sz w:val="24"/>
          <w:szCs w:val="24"/>
        </w:rPr>
        <w:t xml:space="preserve"> – </w:t>
      </w:r>
      <w:r w:rsidRPr="00E6165C">
        <w:rPr>
          <w:rFonts w:ascii="Arial" w:eastAsia="Times New Roman" w:hAnsi="Arial" w:cs="Arial"/>
          <w:sz w:val="24"/>
          <w:szCs w:val="24"/>
          <w:lang w:bidi="ar-SA"/>
        </w:rPr>
        <w:t xml:space="preserve">18 years of age. Under Florida law, parental permission must be obtained before individuals under 18 years of age before the individual can participate may participate in human subject research. This means the IRB cannot waive the requirement for parental permission unless the child is emancipated.  Only the following categories of individuals are considered emancipated and may consent to participate in human subject research when they are under 18 years of age: </w:t>
      </w:r>
    </w:p>
    <w:p w14:paraId="136B9EF0" w14:textId="77777777" w:rsidR="00375A71" w:rsidRPr="00E6165C" w:rsidRDefault="00375A71" w:rsidP="00375A71">
      <w:pPr>
        <w:spacing w:after="0" w:line="240" w:lineRule="auto"/>
        <w:rPr>
          <w:rFonts w:ascii="Arial" w:eastAsia="Times New Roman" w:hAnsi="Arial" w:cs="Arial"/>
          <w:sz w:val="24"/>
          <w:szCs w:val="24"/>
          <w:lang w:bidi="ar-SA"/>
        </w:rPr>
      </w:pPr>
    </w:p>
    <w:p w14:paraId="22BD1C47" w14:textId="77777777" w:rsidR="00375A71" w:rsidRPr="00E6165C" w:rsidRDefault="00375A71" w:rsidP="00375A71">
      <w:pPr>
        <w:numPr>
          <w:ilvl w:val="1"/>
          <w:numId w:val="2"/>
        </w:numPr>
        <w:spacing w:after="0" w:line="240" w:lineRule="auto"/>
        <w:ind w:left="72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Individuals who have been emancipated by a Circuit </w:t>
      </w:r>
    </w:p>
    <w:p w14:paraId="4BF2A762" w14:textId="77777777" w:rsidR="00375A71" w:rsidRPr="00E6165C" w:rsidRDefault="00375A71" w:rsidP="00375A71">
      <w:pPr>
        <w:numPr>
          <w:ilvl w:val="1"/>
          <w:numId w:val="2"/>
        </w:numPr>
        <w:spacing w:after="0" w:line="240" w:lineRule="auto"/>
        <w:ind w:left="72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Individuals who are married or have been married </w:t>
      </w:r>
    </w:p>
    <w:p w14:paraId="370C4167" w14:textId="77777777" w:rsidR="00375A71" w:rsidRPr="00E6165C" w:rsidRDefault="00375A71" w:rsidP="00375A71">
      <w:pPr>
        <w:numPr>
          <w:ilvl w:val="1"/>
          <w:numId w:val="2"/>
        </w:numPr>
        <w:spacing w:after="0" w:line="240" w:lineRule="auto"/>
        <w:ind w:left="72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An unwed pregnant woman may consent to research relating to her pregnancy but may not consent to research involving herself or her child after delivery</w:t>
      </w:r>
    </w:p>
    <w:p w14:paraId="6C35EE59" w14:textId="77777777" w:rsidR="00375A71" w:rsidRPr="00E6165C" w:rsidRDefault="00375A71" w:rsidP="00375A71">
      <w:pPr>
        <w:spacing w:after="0" w:line="240" w:lineRule="auto"/>
        <w:ind w:left="720"/>
        <w:contextualSpacing/>
        <w:rPr>
          <w:rFonts w:ascii="Arial" w:hAnsi="Arial" w:cs="Arial"/>
          <w:sz w:val="24"/>
          <w:szCs w:val="24"/>
        </w:rPr>
      </w:pPr>
    </w:p>
    <w:p w14:paraId="6C05B5AE" w14:textId="77777777" w:rsidR="00375A71" w:rsidRPr="00E6165C" w:rsidRDefault="00375A71" w:rsidP="00375A71">
      <w:pPr>
        <w:tabs>
          <w:tab w:val="left" w:pos="90"/>
        </w:tabs>
        <w:spacing w:after="0" w:line="240" w:lineRule="auto"/>
        <w:contextualSpacing/>
        <w:rPr>
          <w:rFonts w:ascii="Arial" w:hAnsi="Arial" w:cs="Arial"/>
          <w:sz w:val="24"/>
          <w:szCs w:val="24"/>
        </w:rPr>
      </w:pPr>
      <w:r w:rsidRPr="00E6165C">
        <w:rPr>
          <w:rFonts w:ascii="Arial" w:eastAsia="Times New Roman" w:hAnsi="Arial" w:cs="Arial"/>
          <w:sz w:val="24"/>
          <w:szCs w:val="24"/>
          <w:lang w:bidi="ar-SA"/>
        </w:rPr>
        <w:t>Foster Children</w:t>
      </w:r>
      <w:r w:rsidRPr="00E6165C">
        <w:rPr>
          <w:rFonts w:ascii="Arial" w:hAnsi="Arial" w:cs="Arial"/>
          <w:sz w:val="24"/>
          <w:szCs w:val="24"/>
        </w:rPr>
        <w:t xml:space="preserve"> – </w:t>
      </w:r>
      <w:r w:rsidRPr="00E6165C">
        <w:rPr>
          <w:rFonts w:ascii="Arial" w:eastAsia="Times New Roman" w:hAnsi="Arial" w:cs="Arial"/>
          <w:sz w:val="24"/>
          <w:szCs w:val="24"/>
          <w:lang w:bidi="ar-SA"/>
        </w:rPr>
        <w:t>Parents retain the right to consent to their child’s participation in research.  Any researchers considering research with this vulnerable population should consult with the Florida Department of Health for more specific guidance.</w:t>
      </w:r>
    </w:p>
    <w:p w14:paraId="3217BD09" w14:textId="77777777" w:rsidR="00375A71" w:rsidRPr="00E6165C" w:rsidRDefault="00375A71" w:rsidP="00375A71">
      <w:pPr>
        <w:spacing w:after="0" w:line="240" w:lineRule="auto"/>
        <w:ind w:left="720"/>
        <w:contextualSpacing/>
        <w:rPr>
          <w:rFonts w:ascii="Arial" w:hAnsi="Arial" w:cs="Arial"/>
          <w:sz w:val="24"/>
          <w:szCs w:val="24"/>
        </w:rPr>
      </w:pPr>
    </w:p>
    <w:p w14:paraId="53BBE09A" w14:textId="77777777" w:rsidR="00375A71" w:rsidRPr="00E6165C" w:rsidRDefault="00375A71" w:rsidP="00375A71">
      <w:pPr>
        <w:spacing w:after="0" w:line="240" w:lineRule="auto"/>
        <w:contextualSpacing/>
        <w:rPr>
          <w:rFonts w:ascii="Arial" w:hAnsi="Arial" w:cs="Arial"/>
          <w:sz w:val="24"/>
          <w:szCs w:val="24"/>
        </w:rPr>
      </w:pPr>
      <w:r w:rsidRPr="00E6165C">
        <w:rPr>
          <w:rFonts w:ascii="Arial" w:eastAsia="Times New Roman" w:hAnsi="Arial" w:cs="Arial"/>
          <w:sz w:val="24"/>
          <w:szCs w:val="24"/>
          <w:lang w:bidi="ar-SA"/>
        </w:rPr>
        <w:t>Research on Fetuses</w:t>
      </w:r>
      <w:r w:rsidRPr="00E6165C">
        <w:rPr>
          <w:rFonts w:ascii="Arial" w:hAnsi="Arial" w:cs="Arial"/>
          <w:sz w:val="24"/>
          <w:szCs w:val="24"/>
        </w:rPr>
        <w:t xml:space="preserve"> – </w:t>
      </w:r>
      <w:r w:rsidRPr="00E6165C">
        <w:rPr>
          <w:rFonts w:ascii="Arial" w:eastAsia="Times New Roman" w:hAnsi="Arial" w:cs="Arial"/>
          <w:sz w:val="24"/>
          <w:szCs w:val="24"/>
          <w:lang w:bidi="ar-SA"/>
        </w:rPr>
        <w:t>Florida law prohibits research on any live fetus or premature infant before or after delivery or termination of pregnancy except as necessary to protect the life and health of the fetus or premature infant.</w:t>
      </w:r>
    </w:p>
    <w:p w14:paraId="69A46815" w14:textId="77777777" w:rsidR="00375A71" w:rsidRPr="00E6165C" w:rsidRDefault="00375A71" w:rsidP="00375A71">
      <w:pPr>
        <w:spacing w:after="0" w:line="240" w:lineRule="auto"/>
        <w:contextualSpacing/>
        <w:rPr>
          <w:rFonts w:ascii="Arial" w:eastAsia="Times New Roman" w:hAnsi="Arial" w:cs="Arial"/>
          <w:sz w:val="24"/>
          <w:szCs w:val="24"/>
          <w:lang w:bidi="ar-SA"/>
        </w:rPr>
      </w:pPr>
    </w:p>
    <w:p w14:paraId="6339DC4C" w14:textId="1C2868BD" w:rsidR="00375A71" w:rsidRPr="00E6165C" w:rsidRDefault="00375A71" w:rsidP="00375A71">
      <w:pPr>
        <w:spacing w:after="0" w:line="240" w:lineRule="auto"/>
        <w:contextualSpacing/>
        <w:rPr>
          <w:rFonts w:ascii="Arial" w:hAnsi="Arial" w:cs="Arial"/>
          <w:sz w:val="24"/>
          <w:szCs w:val="24"/>
        </w:rPr>
      </w:pPr>
      <w:r w:rsidRPr="00E6165C">
        <w:rPr>
          <w:rFonts w:ascii="Arial" w:eastAsia="Times New Roman" w:hAnsi="Arial" w:cs="Arial"/>
          <w:sz w:val="24"/>
          <w:szCs w:val="24"/>
          <w:lang w:bidi="ar-SA"/>
        </w:rPr>
        <w:t>Genetic Testing-</w:t>
      </w:r>
      <w:r w:rsidRPr="00E6165C">
        <w:rPr>
          <w:rFonts w:ascii="Arial" w:hAnsi="Arial" w:cs="Arial"/>
          <w:sz w:val="24"/>
          <w:szCs w:val="24"/>
        </w:rPr>
        <w:t xml:space="preserve"> </w:t>
      </w:r>
      <w:r w:rsidRPr="00E6165C">
        <w:rPr>
          <w:rFonts w:ascii="Arial" w:eastAsia="Times New Roman" w:hAnsi="Arial" w:cs="Arial"/>
          <w:sz w:val="24"/>
          <w:szCs w:val="24"/>
          <w:lang w:bidi="ar-SA"/>
        </w:rPr>
        <w:t>Informed consent must always be obtained prior to DNA testing.</w:t>
      </w:r>
    </w:p>
    <w:p w14:paraId="3DC53450" w14:textId="77777777" w:rsidR="00375A71" w:rsidRPr="00E6165C" w:rsidRDefault="00375A71" w:rsidP="00375A71">
      <w:pPr>
        <w:spacing w:after="0" w:line="240" w:lineRule="auto"/>
        <w:contextualSpacing/>
        <w:rPr>
          <w:rFonts w:ascii="Arial" w:hAnsi="Arial" w:cs="Arial"/>
          <w:sz w:val="24"/>
          <w:szCs w:val="24"/>
        </w:rPr>
      </w:pPr>
    </w:p>
    <w:p w14:paraId="5174BFB2" w14:textId="77777777" w:rsidR="00375A71" w:rsidRPr="00E6165C" w:rsidRDefault="00375A71" w:rsidP="00375A71">
      <w:pPr>
        <w:spacing w:after="0" w:line="240" w:lineRule="auto"/>
        <w:contextualSpacing/>
        <w:rPr>
          <w:rFonts w:ascii="Arial" w:hAnsi="Arial" w:cs="Arial"/>
          <w:sz w:val="24"/>
          <w:szCs w:val="24"/>
        </w:rPr>
      </w:pPr>
      <w:r w:rsidRPr="00E6165C">
        <w:rPr>
          <w:rFonts w:ascii="Arial" w:eastAsia="Times New Roman" w:hAnsi="Arial" w:cs="Arial"/>
          <w:sz w:val="24"/>
          <w:szCs w:val="24"/>
          <w:lang w:bidi="ar-SA"/>
        </w:rPr>
        <w:t>Sexually Transmitted Diseases –Positive tests results of the following sexually transmitted diseases must be reported to health authorities:</w:t>
      </w:r>
    </w:p>
    <w:p w14:paraId="06EAF951" w14:textId="77777777" w:rsidR="00375A71" w:rsidRPr="00E6165C" w:rsidRDefault="00375A71" w:rsidP="00375A71">
      <w:pPr>
        <w:spacing w:after="0" w:line="240" w:lineRule="auto"/>
        <w:contextualSpacing/>
        <w:rPr>
          <w:rFonts w:ascii="Arial" w:hAnsi="Arial" w:cs="Arial"/>
          <w:sz w:val="24"/>
          <w:szCs w:val="24"/>
        </w:rPr>
      </w:pPr>
    </w:p>
    <w:p w14:paraId="7F6B503E" w14:textId="77777777" w:rsidR="00375A71" w:rsidRPr="00E6165C" w:rsidRDefault="00375A71" w:rsidP="00375A71">
      <w:pPr>
        <w:numPr>
          <w:ilvl w:val="0"/>
          <w:numId w:val="3"/>
        </w:numPr>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HIV</w:t>
      </w:r>
    </w:p>
    <w:p w14:paraId="52F26717" w14:textId="77777777" w:rsidR="00375A71" w:rsidRPr="00E6165C" w:rsidRDefault="00375A71" w:rsidP="00375A71">
      <w:pPr>
        <w:numPr>
          <w:ilvl w:val="0"/>
          <w:numId w:val="3"/>
        </w:numPr>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AIDS</w:t>
      </w:r>
    </w:p>
    <w:p w14:paraId="3869ADE7"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(AIDS)- Acquired Immune Deficiency Syndrome</w:t>
      </w:r>
    </w:p>
    <w:p w14:paraId="49415ADF"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Chancroid</w:t>
      </w:r>
    </w:p>
    <w:p w14:paraId="6B4802B0"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Chlamydia</w:t>
      </w:r>
    </w:p>
    <w:p w14:paraId="449C066F"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Gonorrhea</w:t>
      </w:r>
    </w:p>
    <w:p w14:paraId="30AFAAC4"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Granuloma Inguinale</w:t>
      </w:r>
    </w:p>
    <w:p w14:paraId="5E36DDE5"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Hepatitis A</w:t>
      </w:r>
    </w:p>
    <w:p w14:paraId="79EB78F9"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Hepatitis B</w:t>
      </w:r>
    </w:p>
    <w:p w14:paraId="598CE00B"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HIV -Human Immunodeficiency Virus</w:t>
      </w:r>
    </w:p>
    <w:p w14:paraId="0C7BDBF1" w14:textId="7BD6B048"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Lymphogranuloma Venereum (</w:t>
      </w:r>
      <w:r w:rsidR="00FB45D1" w:rsidRPr="00E6165C">
        <w:rPr>
          <w:rFonts w:ascii="Arial" w:eastAsia="Times New Roman" w:hAnsi="Arial" w:cs="Arial"/>
          <w:sz w:val="24"/>
          <w:szCs w:val="24"/>
          <w:lang w:bidi="ar-SA"/>
        </w:rPr>
        <w:t>Venereal</w:t>
      </w:r>
      <w:r w:rsidRPr="00E6165C">
        <w:rPr>
          <w:rFonts w:ascii="Arial" w:eastAsia="Times New Roman" w:hAnsi="Arial" w:cs="Arial"/>
          <w:sz w:val="24"/>
          <w:szCs w:val="24"/>
          <w:lang w:bidi="ar-SA"/>
        </w:rPr>
        <w:t xml:space="preserve"> Disease)</w:t>
      </w:r>
    </w:p>
    <w:p w14:paraId="06B16D25" w14:textId="77777777" w:rsidR="00375A71" w:rsidRPr="00E6165C" w:rsidRDefault="00375A71" w:rsidP="00375A71">
      <w:pPr>
        <w:numPr>
          <w:ilvl w:val="0"/>
          <w:numId w:val="3"/>
        </w:numPr>
        <w:spacing w:before="100" w:beforeAutospacing="1" w:after="100" w:afterAutospacing="1" w:line="240" w:lineRule="auto"/>
        <w:rPr>
          <w:rFonts w:ascii="Arial" w:eastAsia="Times New Roman" w:hAnsi="Arial" w:cs="Arial"/>
          <w:sz w:val="24"/>
          <w:szCs w:val="24"/>
          <w:lang w:bidi="ar-SA"/>
        </w:rPr>
      </w:pPr>
      <w:r w:rsidRPr="00E6165C">
        <w:rPr>
          <w:rFonts w:ascii="Arial" w:eastAsia="Times New Roman" w:hAnsi="Arial" w:cs="Arial"/>
          <w:sz w:val="24"/>
          <w:szCs w:val="24"/>
          <w:lang w:bidi="ar-SA"/>
        </w:rPr>
        <w:t>Syphilis</w:t>
      </w:r>
    </w:p>
    <w:p w14:paraId="5FB4C795" w14:textId="77777777" w:rsidR="00375A71" w:rsidRPr="00E6165C" w:rsidRDefault="00375A71" w:rsidP="00375A71">
      <w:pPr>
        <w:spacing w:after="0" w:line="240" w:lineRule="auto"/>
        <w:contextualSpacing/>
        <w:rPr>
          <w:rFonts w:ascii="Arial" w:hAnsi="Arial" w:cs="Arial"/>
          <w:sz w:val="24"/>
          <w:szCs w:val="24"/>
        </w:rPr>
      </w:pPr>
      <w:r w:rsidRPr="00E6165C">
        <w:rPr>
          <w:rFonts w:ascii="Arial" w:eastAsia="Times New Roman" w:hAnsi="Arial" w:cs="Arial"/>
          <w:sz w:val="24"/>
          <w:szCs w:val="24"/>
          <w:lang w:bidi="ar-SA"/>
        </w:rPr>
        <w:t>HIV Testing</w:t>
      </w:r>
      <w:r w:rsidRPr="00E6165C">
        <w:rPr>
          <w:rFonts w:ascii="Arial" w:hAnsi="Arial" w:cs="Arial"/>
          <w:sz w:val="24"/>
          <w:szCs w:val="24"/>
        </w:rPr>
        <w:t xml:space="preserve"> –</w:t>
      </w:r>
      <w:r w:rsidR="00E6165C">
        <w:rPr>
          <w:rFonts w:ascii="Arial" w:eastAsia="Times New Roman" w:hAnsi="Arial" w:cs="Arial"/>
          <w:sz w:val="24"/>
          <w:szCs w:val="24"/>
          <w:lang w:bidi="ar-SA"/>
        </w:rPr>
        <w:t xml:space="preserve"> </w:t>
      </w:r>
      <w:r w:rsidRPr="00E6165C">
        <w:rPr>
          <w:rFonts w:ascii="Arial" w:eastAsia="Times New Roman" w:hAnsi="Arial" w:cs="Arial"/>
          <w:sz w:val="24"/>
          <w:szCs w:val="24"/>
          <w:lang w:bidi="ar-SA"/>
        </w:rPr>
        <w:t>T</w:t>
      </w:r>
      <w:r w:rsidR="00DB2307" w:rsidRPr="00E6165C">
        <w:rPr>
          <w:rFonts w:ascii="Arial" w:eastAsia="Times New Roman" w:hAnsi="Arial" w:cs="Arial"/>
          <w:sz w:val="24"/>
          <w:szCs w:val="24"/>
          <w:lang w:bidi="ar-SA"/>
        </w:rPr>
        <w:t xml:space="preserve">he University of Miami </w:t>
      </w:r>
      <w:r w:rsidRPr="00E6165C">
        <w:rPr>
          <w:rFonts w:ascii="Arial" w:eastAsia="Times New Roman" w:hAnsi="Arial" w:cs="Arial"/>
          <w:sz w:val="24"/>
          <w:szCs w:val="24"/>
          <w:lang w:bidi="ar-SA"/>
        </w:rPr>
        <w:t xml:space="preserve">consent </w:t>
      </w:r>
      <w:r w:rsidR="00DB2307" w:rsidRPr="00E6165C">
        <w:rPr>
          <w:rFonts w:ascii="Arial" w:eastAsia="Times New Roman" w:hAnsi="Arial" w:cs="Arial"/>
          <w:sz w:val="24"/>
          <w:szCs w:val="24"/>
          <w:lang w:bidi="ar-SA"/>
        </w:rPr>
        <w:t xml:space="preserve">template </w:t>
      </w:r>
      <w:r w:rsidRPr="00E6165C">
        <w:rPr>
          <w:rFonts w:ascii="Arial" w:eastAsia="Times New Roman" w:hAnsi="Arial" w:cs="Arial"/>
          <w:sz w:val="24"/>
          <w:szCs w:val="24"/>
          <w:lang w:bidi="ar-SA"/>
        </w:rPr>
        <w:t>includes the required language.</w:t>
      </w:r>
      <w:r w:rsidRPr="00E6165C">
        <w:rPr>
          <w:rFonts w:ascii="Arial" w:hAnsi="Arial" w:cs="Arial"/>
          <w:sz w:val="24"/>
          <w:szCs w:val="24"/>
        </w:rPr>
        <w:t xml:space="preserve">  </w:t>
      </w:r>
    </w:p>
    <w:p w14:paraId="3559803D" w14:textId="77777777" w:rsidR="00375A71" w:rsidRPr="00E6165C" w:rsidRDefault="00375A71" w:rsidP="00375A71">
      <w:pPr>
        <w:spacing w:after="0" w:line="240" w:lineRule="auto"/>
        <w:contextualSpacing/>
        <w:rPr>
          <w:rFonts w:ascii="Arial" w:hAnsi="Arial" w:cs="Arial"/>
          <w:sz w:val="24"/>
          <w:szCs w:val="24"/>
        </w:rPr>
      </w:pPr>
    </w:p>
    <w:p w14:paraId="45996739" w14:textId="77777777" w:rsidR="00375A71" w:rsidRPr="00E6165C" w:rsidRDefault="00375A71" w:rsidP="00375A71">
      <w:pPr>
        <w:tabs>
          <w:tab w:val="left" w:pos="90"/>
        </w:tabs>
        <w:spacing w:after="0" w:line="240" w:lineRule="auto"/>
        <w:contextualSpacing/>
        <w:rPr>
          <w:rFonts w:ascii="Arial" w:hAnsi="Arial" w:cs="Arial"/>
          <w:sz w:val="24"/>
          <w:szCs w:val="24"/>
        </w:rPr>
      </w:pPr>
      <w:r w:rsidRPr="00E6165C">
        <w:rPr>
          <w:rFonts w:ascii="Arial" w:eastAsia="Times New Roman" w:hAnsi="Arial" w:cs="Arial"/>
          <w:sz w:val="24"/>
          <w:szCs w:val="24"/>
          <w:lang w:bidi="ar-SA"/>
        </w:rPr>
        <w:t xml:space="preserve">When the Adult Subject Cannot Consent </w:t>
      </w:r>
      <w:r w:rsidRPr="00E6165C">
        <w:rPr>
          <w:rFonts w:ascii="Arial" w:hAnsi="Arial" w:cs="Arial"/>
          <w:sz w:val="24"/>
          <w:szCs w:val="24"/>
        </w:rPr>
        <w:t xml:space="preserve">- </w:t>
      </w:r>
      <w:r w:rsidRPr="00E6165C">
        <w:rPr>
          <w:rFonts w:ascii="Arial" w:eastAsia="Times New Roman" w:hAnsi="Arial" w:cs="Arial"/>
          <w:sz w:val="24"/>
          <w:szCs w:val="24"/>
          <w:lang w:bidi="ar-SA"/>
        </w:rPr>
        <w:t>Florida recognizes that the following individuals (in order presented) may consent to the enrollment of an individual in medical research that has been approved by an IRB:</w:t>
      </w:r>
    </w:p>
    <w:p w14:paraId="2919BEFD" w14:textId="77777777" w:rsidR="00375A71" w:rsidRPr="00E6165C" w:rsidRDefault="00375A71" w:rsidP="00375A71">
      <w:pPr>
        <w:tabs>
          <w:tab w:val="left" w:pos="90"/>
        </w:tabs>
        <w:spacing w:after="0" w:line="240" w:lineRule="auto"/>
        <w:ind w:left="720" w:hanging="360"/>
        <w:contextualSpacing/>
        <w:rPr>
          <w:rFonts w:ascii="Arial" w:eastAsia="Times New Roman" w:hAnsi="Arial" w:cs="Arial"/>
          <w:sz w:val="24"/>
          <w:szCs w:val="24"/>
          <w:lang w:bidi="ar-SA"/>
        </w:rPr>
      </w:pPr>
    </w:p>
    <w:p w14:paraId="5BC0BC1C" w14:textId="77777777" w:rsidR="00375A71" w:rsidRPr="00E6165C" w:rsidRDefault="00375A71" w:rsidP="00375A71">
      <w:pPr>
        <w:numPr>
          <w:ilvl w:val="0"/>
          <w:numId w:val="4"/>
        </w:numPr>
        <w:tabs>
          <w:tab w:val="left" w:pos="9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A competent adult surrogate designated by the research participant in writing to make health care decisions on behalf of the participant</w:t>
      </w:r>
    </w:p>
    <w:p w14:paraId="0BFD73F6" w14:textId="77777777" w:rsidR="00375A71" w:rsidRPr="00E6165C" w:rsidRDefault="00375A71" w:rsidP="00375A71">
      <w:pPr>
        <w:numPr>
          <w:ilvl w:val="0"/>
          <w:numId w:val="4"/>
        </w:numPr>
        <w:tabs>
          <w:tab w:val="left" w:pos="9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In the absence of a designated surrogate, a Court Appointed Guardian</w:t>
      </w:r>
    </w:p>
    <w:p w14:paraId="15566C87" w14:textId="77777777" w:rsidR="00375A71" w:rsidRPr="00E6165C" w:rsidRDefault="00375A71" w:rsidP="00375A71">
      <w:pPr>
        <w:numPr>
          <w:ilvl w:val="0"/>
          <w:numId w:val="4"/>
        </w:numPr>
        <w:tabs>
          <w:tab w:val="left" w:pos="9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A person holding a valid power of attorney (durable POA) which contains language in which the potential participant gives the person the right to make health care decisions </w:t>
      </w:r>
    </w:p>
    <w:p w14:paraId="2F8E2773" w14:textId="77777777" w:rsidR="00375A71" w:rsidRPr="00E6165C" w:rsidRDefault="00375A71" w:rsidP="00375A71">
      <w:pPr>
        <w:numPr>
          <w:ilvl w:val="0"/>
          <w:numId w:val="1"/>
        </w:numPr>
        <w:tabs>
          <w:tab w:val="left" w:pos="90"/>
          <w:tab w:val="left" w:pos="720"/>
        </w:tabs>
        <w:spacing w:after="0" w:line="240" w:lineRule="auto"/>
        <w:ind w:left="720"/>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In the absence of a surrogate, Court Appointed Guardian or POA, one of the following:  </w:t>
      </w:r>
    </w:p>
    <w:p w14:paraId="7B8C274A" w14:textId="77777777" w:rsidR="00375A71" w:rsidRPr="00E6165C" w:rsidRDefault="00375A71" w:rsidP="00375A71">
      <w:pPr>
        <w:numPr>
          <w:ilvl w:val="1"/>
          <w:numId w:val="1"/>
        </w:numPr>
        <w:tabs>
          <w:tab w:val="left" w:pos="90"/>
          <w:tab w:val="left" w:pos="72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Spouse</w:t>
      </w:r>
    </w:p>
    <w:p w14:paraId="4ACC2AC8" w14:textId="77777777" w:rsidR="00375A71" w:rsidRPr="00E6165C" w:rsidRDefault="00375A71" w:rsidP="00375A71">
      <w:pPr>
        <w:numPr>
          <w:ilvl w:val="1"/>
          <w:numId w:val="1"/>
        </w:numPr>
        <w:tabs>
          <w:tab w:val="left" w:pos="90"/>
          <w:tab w:val="left" w:pos="72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Adult child (or a majority of the adult siblings who are reasonably available for consultation) </w:t>
      </w:r>
    </w:p>
    <w:p w14:paraId="15921FE3" w14:textId="77777777" w:rsidR="00375A71" w:rsidRPr="00E6165C" w:rsidRDefault="00375A71" w:rsidP="00375A71">
      <w:pPr>
        <w:numPr>
          <w:ilvl w:val="1"/>
          <w:numId w:val="1"/>
        </w:numPr>
        <w:tabs>
          <w:tab w:val="left" w:pos="90"/>
          <w:tab w:val="left" w:pos="72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 xml:space="preserve">Parent </w:t>
      </w:r>
    </w:p>
    <w:p w14:paraId="21DE0A27" w14:textId="77777777" w:rsidR="00375A71" w:rsidRPr="00E6165C" w:rsidRDefault="00375A71" w:rsidP="00375A71">
      <w:pPr>
        <w:numPr>
          <w:ilvl w:val="1"/>
          <w:numId w:val="1"/>
        </w:numPr>
        <w:tabs>
          <w:tab w:val="left" w:pos="90"/>
          <w:tab w:val="left" w:pos="72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Adult sibling (or a majority of the adult siblings who are reasonably available for consultation)</w:t>
      </w:r>
    </w:p>
    <w:p w14:paraId="5E3846F8" w14:textId="77777777" w:rsidR="00375A71" w:rsidRPr="00E6165C" w:rsidRDefault="00375A71" w:rsidP="00375A71">
      <w:pPr>
        <w:tabs>
          <w:tab w:val="left" w:pos="90"/>
        </w:tabs>
        <w:spacing w:after="0" w:line="240" w:lineRule="auto"/>
        <w:contextualSpacing/>
        <w:rPr>
          <w:rFonts w:ascii="Arial" w:eastAsia="Times New Roman" w:hAnsi="Arial" w:cs="Arial"/>
          <w:sz w:val="24"/>
          <w:szCs w:val="24"/>
          <w:lang w:bidi="ar-SA"/>
        </w:rPr>
      </w:pPr>
      <w:r w:rsidRPr="00E6165C">
        <w:rPr>
          <w:rFonts w:ascii="Arial" w:eastAsia="Times New Roman" w:hAnsi="Arial" w:cs="Arial"/>
          <w:sz w:val="24"/>
          <w:szCs w:val="24"/>
          <w:lang w:bidi="ar-SA"/>
        </w:rPr>
        <w:t>The decision must be based on what the proxy reasonably believes the patient would have made under the circumstances. If there is no indication of what the patient would have chosen, the proxy may consider the patient’s best interest in deciding that proposed treatments are to be withheld or that treatments currently in effect are to be withdrawn.</w:t>
      </w:r>
    </w:p>
    <w:p w14:paraId="300778E7" w14:textId="77777777" w:rsidR="00375A71" w:rsidRPr="00E6165C" w:rsidRDefault="00375A71" w:rsidP="00375A71">
      <w:pPr>
        <w:tabs>
          <w:tab w:val="left" w:pos="90"/>
        </w:tabs>
        <w:spacing w:after="0" w:line="240" w:lineRule="auto"/>
        <w:contextualSpacing/>
        <w:rPr>
          <w:rFonts w:ascii="Arial" w:hAnsi="Arial" w:cs="Arial"/>
          <w:sz w:val="24"/>
          <w:szCs w:val="24"/>
        </w:rPr>
      </w:pPr>
    </w:p>
    <w:p w14:paraId="29B60378" w14:textId="77777777" w:rsidR="00375A71" w:rsidRPr="00E6165C" w:rsidRDefault="00375A71" w:rsidP="00375A71">
      <w:pPr>
        <w:spacing w:after="0" w:line="240" w:lineRule="auto"/>
        <w:ind w:left="720"/>
        <w:contextualSpacing/>
        <w:rPr>
          <w:rFonts w:ascii="Arial" w:hAnsi="Arial" w:cs="Arial"/>
          <w:sz w:val="24"/>
          <w:szCs w:val="24"/>
        </w:rPr>
      </w:pPr>
    </w:p>
    <w:p w14:paraId="46AFEC5C" w14:textId="77777777" w:rsidR="00375A71" w:rsidRPr="00E6165C" w:rsidRDefault="00375A71" w:rsidP="00375A71">
      <w:pPr>
        <w:spacing w:after="0" w:line="240" w:lineRule="auto"/>
        <w:contextualSpacing/>
        <w:jc w:val="both"/>
        <w:rPr>
          <w:rFonts w:ascii="Arial" w:hAnsi="Arial" w:cs="Arial"/>
          <w:i/>
          <w:sz w:val="24"/>
          <w:szCs w:val="24"/>
        </w:rPr>
      </w:pPr>
      <w:r w:rsidRPr="00E6165C">
        <w:rPr>
          <w:rFonts w:ascii="Arial" w:hAnsi="Arial" w:cs="Arial"/>
          <w:i/>
          <w:sz w:val="24"/>
          <w:szCs w:val="24"/>
        </w:rPr>
        <w:t>Note: That above information is offered for informal guidance purposes only, and should not be considered as legal advice on a particular matter.</w:t>
      </w:r>
    </w:p>
    <w:p w14:paraId="660B5020" w14:textId="77777777" w:rsidR="00375A71" w:rsidRPr="00E6165C" w:rsidRDefault="00375A71" w:rsidP="00375A71">
      <w:pPr>
        <w:rPr>
          <w:rFonts w:ascii="Arial" w:hAnsi="Arial" w:cs="Arial"/>
          <w:sz w:val="24"/>
          <w:szCs w:val="24"/>
        </w:rPr>
      </w:pPr>
    </w:p>
    <w:p w14:paraId="5B0DB922" w14:textId="77777777" w:rsidR="00375A71" w:rsidRPr="00E6165C" w:rsidRDefault="00375A71" w:rsidP="00375A71">
      <w:pPr>
        <w:rPr>
          <w:rFonts w:ascii="Arial" w:hAnsi="Arial" w:cs="Arial"/>
          <w:sz w:val="24"/>
          <w:szCs w:val="24"/>
        </w:rPr>
      </w:pPr>
    </w:p>
    <w:p w14:paraId="38844191" w14:textId="77777777" w:rsidR="00A85EF4" w:rsidRPr="00E6165C" w:rsidRDefault="00A85EF4">
      <w:pPr>
        <w:rPr>
          <w:rFonts w:ascii="Arial" w:hAnsi="Arial" w:cs="Arial"/>
          <w:sz w:val="24"/>
          <w:szCs w:val="24"/>
        </w:rPr>
      </w:pPr>
    </w:p>
    <w:sectPr w:rsidR="00A85EF4" w:rsidRPr="00E6165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A264" w14:textId="77777777" w:rsidR="00FE0959" w:rsidRDefault="00FE0959" w:rsidP="00375A71">
      <w:pPr>
        <w:spacing w:after="0" w:line="240" w:lineRule="auto"/>
      </w:pPr>
      <w:r>
        <w:separator/>
      </w:r>
    </w:p>
  </w:endnote>
  <w:endnote w:type="continuationSeparator" w:id="0">
    <w:p w14:paraId="3C9094B7" w14:textId="77777777" w:rsidR="00FE0959" w:rsidRDefault="00FE0959" w:rsidP="0037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w:panose1 w:val="020B060203050402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A4A01" w14:textId="5546D3FB" w:rsidR="008368B0" w:rsidRDefault="00746BC4">
    <w:pPr>
      <w:pStyle w:val="Footer"/>
    </w:pPr>
    <w:r>
      <w:t xml:space="preserve">Version </w:t>
    </w:r>
    <w:r w:rsidR="008365CA">
      <w:t>2.6.2024</w:t>
    </w:r>
  </w:p>
  <w:p w14:paraId="51C5CDE5" w14:textId="77777777" w:rsidR="008368B0" w:rsidRDefault="008368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D2678" w14:textId="77777777" w:rsidR="00FE0959" w:rsidRDefault="00FE0959" w:rsidP="00375A71">
      <w:pPr>
        <w:spacing w:after="0" w:line="240" w:lineRule="auto"/>
      </w:pPr>
      <w:r>
        <w:separator/>
      </w:r>
    </w:p>
  </w:footnote>
  <w:footnote w:type="continuationSeparator" w:id="0">
    <w:p w14:paraId="18466DE7" w14:textId="77777777" w:rsidR="00FE0959" w:rsidRDefault="00FE0959" w:rsidP="0037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EB706" w14:textId="77777777" w:rsidR="00375A71" w:rsidRDefault="00375A71">
    <w:pPr>
      <w:pStyle w:val="Header"/>
    </w:pPr>
    <w:r>
      <w:rPr>
        <w:noProof/>
        <w:lang w:bidi="ar-SA"/>
      </w:rPr>
      <w:drawing>
        <wp:inline distT="0" distB="0" distL="0" distR="0" wp14:anchorId="6AD65FAA" wp14:editId="3D20EA27">
          <wp:extent cx="1571625" cy="74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745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2E22"/>
    <w:multiLevelType w:val="hybridMultilevel"/>
    <w:tmpl w:val="6BD6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61854"/>
    <w:multiLevelType w:val="hybridMultilevel"/>
    <w:tmpl w:val="08E0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D558F"/>
    <w:multiLevelType w:val="hybridMultilevel"/>
    <w:tmpl w:val="356E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46F27"/>
    <w:multiLevelType w:val="multilevel"/>
    <w:tmpl w:val="E9D401B0"/>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4C2A1A88"/>
    <w:multiLevelType w:val="hybridMultilevel"/>
    <w:tmpl w:val="F448F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C9A7C6B"/>
    <w:multiLevelType w:val="hybridMultilevel"/>
    <w:tmpl w:val="BB426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B2D78"/>
    <w:multiLevelType w:val="hybridMultilevel"/>
    <w:tmpl w:val="2C203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D3995"/>
    <w:multiLevelType w:val="hybridMultilevel"/>
    <w:tmpl w:val="AD0E9FAA"/>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C33DED"/>
    <w:multiLevelType w:val="hybridMultilevel"/>
    <w:tmpl w:val="EAB84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2859563">
    <w:abstractNumId w:val="3"/>
  </w:num>
  <w:num w:numId="2" w16cid:durableId="184635501">
    <w:abstractNumId w:val="7"/>
  </w:num>
  <w:num w:numId="3" w16cid:durableId="298808098">
    <w:abstractNumId w:val="2"/>
  </w:num>
  <w:num w:numId="4" w16cid:durableId="192691886">
    <w:abstractNumId w:val="6"/>
  </w:num>
  <w:num w:numId="5" w16cid:durableId="2115052757">
    <w:abstractNumId w:val="0"/>
  </w:num>
  <w:num w:numId="6" w16cid:durableId="376586229">
    <w:abstractNumId w:val="5"/>
  </w:num>
  <w:num w:numId="7" w16cid:durableId="1375421159">
    <w:abstractNumId w:val="1"/>
  </w:num>
  <w:num w:numId="8" w16cid:durableId="14893521">
    <w:abstractNumId w:val="4"/>
  </w:num>
  <w:num w:numId="9" w16cid:durableId="995913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A71"/>
    <w:rsid w:val="00123536"/>
    <w:rsid w:val="00196D93"/>
    <w:rsid w:val="00300358"/>
    <w:rsid w:val="00375A71"/>
    <w:rsid w:val="006967D3"/>
    <w:rsid w:val="007271A8"/>
    <w:rsid w:val="00746BC4"/>
    <w:rsid w:val="008365CA"/>
    <w:rsid w:val="008368B0"/>
    <w:rsid w:val="00937602"/>
    <w:rsid w:val="009B3808"/>
    <w:rsid w:val="00A85EF4"/>
    <w:rsid w:val="00AA34C2"/>
    <w:rsid w:val="00C207CE"/>
    <w:rsid w:val="00D726E1"/>
    <w:rsid w:val="00DA6E12"/>
    <w:rsid w:val="00DB2307"/>
    <w:rsid w:val="00DE6683"/>
    <w:rsid w:val="00E6165C"/>
    <w:rsid w:val="00ED0979"/>
    <w:rsid w:val="00F1295E"/>
    <w:rsid w:val="00F708EC"/>
    <w:rsid w:val="00FB45D1"/>
    <w:rsid w:val="00FE0959"/>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FCF578"/>
  <w15:docId w15:val="{D75EC1CC-B249-49E4-9F01-8B6B4AE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A71"/>
  </w:style>
  <w:style w:type="paragraph" w:styleId="Header">
    <w:name w:val="header"/>
    <w:basedOn w:val="Normal"/>
    <w:link w:val="HeaderChar"/>
    <w:uiPriority w:val="99"/>
    <w:unhideWhenUsed/>
    <w:rsid w:val="0037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A71"/>
  </w:style>
  <w:style w:type="paragraph" w:styleId="BalloonText">
    <w:name w:val="Balloon Text"/>
    <w:basedOn w:val="Normal"/>
    <w:link w:val="BalloonTextChar"/>
    <w:uiPriority w:val="99"/>
    <w:semiHidden/>
    <w:unhideWhenUsed/>
    <w:rsid w:val="00DB23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2307"/>
    <w:rPr>
      <w:rFonts w:ascii="Lucida Grande" w:hAnsi="Lucida Grande" w:cs="Lucida Grande"/>
      <w:sz w:val="18"/>
      <w:szCs w:val="18"/>
    </w:rPr>
  </w:style>
  <w:style w:type="character" w:styleId="Hyperlink">
    <w:name w:val="Hyperlink"/>
    <w:basedOn w:val="DefaultParagraphFont"/>
    <w:uiPriority w:val="99"/>
    <w:unhideWhenUsed/>
    <w:rsid w:val="00DB2307"/>
    <w:rPr>
      <w:color w:val="0563C1" w:themeColor="hyperlink"/>
      <w:u w:val="single"/>
    </w:rPr>
  </w:style>
  <w:style w:type="character" w:styleId="UnresolvedMention">
    <w:name w:val="Unresolved Mention"/>
    <w:basedOn w:val="DefaultParagraphFont"/>
    <w:uiPriority w:val="99"/>
    <w:semiHidden/>
    <w:unhideWhenUsed/>
    <w:rsid w:val="00FB45D1"/>
    <w:rPr>
      <w:color w:val="605E5C"/>
      <w:shd w:val="clear" w:color="auto" w:fill="E1DFDD"/>
    </w:rPr>
  </w:style>
  <w:style w:type="paragraph" w:styleId="Revision">
    <w:name w:val="Revision"/>
    <w:hidden/>
    <w:uiPriority w:val="99"/>
    <w:semiHidden/>
    <w:rsid w:val="00DE66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rq.gov/professionals/quality-patient-safety/patient-family-engagement/pfeprimarycare/interventions/teach-back.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bital@med.miami.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sro.uresearch.miami.edu/researchers/how-to-submit-to-the-irb/ancillary-committees/index.html" TargetMode="External"/><Relationship Id="rId4" Type="http://schemas.openxmlformats.org/officeDocument/2006/relationships/webSettings" Target="webSettings.xml"/><Relationship Id="rId9" Type="http://schemas.openxmlformats.org/officeDocument/2006/relationships/hyperlink" Target="https://www.ahrq.gov/professionals/quality-patient-safety/patient-family-engagement/pfeprimarycare/interventions/teach-back.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Bital, Evelyne</dc:creator>
  <cp:keywords/>
  <dc:description/>
  <cp:lastModifiedBy>Bital, Evelyne</cp:lastModifiedBy>
  <cp:revision>2</cp:revision>
  <dcterms:created xsi:type="dcterms:W3CDTF">2024-02-23T18:23:00Z</dcterms:created>
  <dcterms:modified xsi:type="dcterms:W3CDTF">2024-02-23T18:23:00Z</dcterms:modified>
</cp:coreProperties>
</file>