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"/>
        <w:tblW w:w="5002" w:type="pct"/>
        <w:tblLayout w:type="fixed"/>
        <w:tblLook w:val="01E0" w:firstRow="1" w:lastRow="1" w:firstColumn="1" w:lastColumn="1" w:noHBand="0" w:noVBand="0"/>
      </w:tblPr>
      <w:tblGrid>
        <w:gridCol w:w="490"/>
        <w:gridCol w:w="10304"/>
      </w:tblGrid>
      <w:tr w14:paraId="25762E2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  <w:gridSpan w:val="2"/>
            <w:tcBorders>
              <w:bottom w:val="single" w:sz="18" w:space="0" w:color="auto"/>
            </w:tcBorders>
          </w:tcPr>
          <w:p w14:paraId="4386CD13" w14:textId="488385FD">
            <w:pPr>
              <w:pStyle w:val="ChecklistBasis"/>
              <w:rPr>
                <w:szCs w:val="20"/>
              </w:rPr>
            </w:pPr>
            <w:r>
              <w:rPr>
                <w:b w:val="0"/>
                <w:bCs w:val="0"/>
                <w:szCs w:val="20"/>
              </w:rPr>
              <w:t xml:space="preserve">The purpose of this worksheet is to provide IRB members with additional considerations that may become relevant when reviewing </w:t>
            </w:r>
            <w:r>
              <w:rPr>
                <w:b w:val="0"/>
                <w:bCs w:val="0"/>
                <w:szCs w:val="20"/>
                <w:u w:val="double"/>
              </w:rPr>
              <w:t>Human Research</w:t>
            </w:r>
            <w:r>
              <w:rPr>
                <w:b w:val="0"/>
                <w:bCs w:val="0"/>
                <w:szCs w:val="20"/>
              </w:rPr>
              <w:t xml:space="preserve"> during an emergency/disaster situation. These additional considerations may provide additional and necessary flexibility for study teams while continuing to assure research subject safety during the emergency/disaster. This worksheet is to be used when directed to do so by the IRB Chair or staff. It does not need to be completed or filed.</w:t>
            </w:r>
          </w:p>
        </w:tc>
      </w:tr>
      <w:tr w14:paraId="3C4262A0" w14:textId="77777777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  <w:gridSpan w:val="2"/>
            <w:tcBorders>
              <w:top w:val="single" w:sz="18" w:space="0" w:color="auto"/>
            </w:tcBorders>
          </w:tcPr>
          <w:p w14:paraId="42CC8CCD" w14:textId="704812FB">
            <w:pPr>
              <w:pStyle w:val="ChecklistLevel1"/>
              <w:numPr>
                <w:ilvl w:val="0"/>
                <w:numId w:val="18"/>
              </w:numPr>
              <w:spacing w:before="20" w:after="20"/>
              <w:ind w:left="360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bCs w:val="0"/>
                <w:szCs w:val="20"/>
              </w:rPr>
              <w:t>More widespread use of waivers of documentation of consent for minimal risk research</w:t>
            </w:r>
            <w:r>
              <w:rPr>
                <w:rFonts w:cs="Arial"/>
                <w:szCs w:val="20"/>
              </w:rPr>
              <w:t xml:space="preserve">: Additional use of waivers of documentation of consent may be appropriate if the following items are true. </w:t>
            </w:r>
            <w:r>
              <w:t>(Check if “Yes.” All must be checked)</w:t>
            </w:r>
          </w:p>
        </w:tc>
      </w:tr>
      <w:tr w14:paraId="13170389" w14:textId="77777777">
        <w:trPr>
          <w:trHeight w:val="224"/>
        </w:trPr>
        <w:sdt>
          <w:sdtPr>
            <w:id w:val="2099825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0" w:type="dxa"/>
              </w:tcPr>
              <w:p w14:paraId="59CE58E8" w14:textId="3C53F03A">
                <w:pPr>
                  <w:pStyle w:val="Yes-No"/>
                  <w:rPr>
                    <w:b/>
                  </w:rPr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304" w:type="dxa"/>
          </w:tcPr>
          <w:p w14:paraId="5C35B2BE" w14:textId="35693026">
            <w:pPr>
              <w:pStyle w:val="Yes-No"/>
              <w:spacing w:before="20" w:after="20"/>
              <w:rPr>
                <w:bCs w:val="0"/>
              </w:rPr>
            </w:pPr>
            <w:r>
              <w:rPr>
                <w:bCs w:val="0"/>
              </w:rPr>
              <w:t xml:space="preserve">The research involves no more than </w:t>
            </w:r>
            <w:r>
              <w:rPr>
                <w:bCs w:val="0"/>
                <w:u w:val="double"/>
              </w:rPr>
              <w:t>Minimal Risk</w:t>
            </w:r>
            <w:r>
              <w:rPr>
                <w:bCs w:val="0"/>
              </w:rPr>
              <w:t xml:space="preserve"> to the subjects.</w:t>
            </w:r>
          </w:p>
        </w:tc>
      </w:tr>
      <w:tr w14:paraId="0A21053A" w14:textId="77777777">
        <w:trPr>
          <w:trHeight w:val="224"/>
        </w:trPr>
        <w:sdt>
          <w:sdtPr>
            <w:id w:val="-180762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0" w:type="dxa"/>
              </w:tcPr>
              <w:p w14:paraId="252F2AC2" w14:textId="2B8CFA0A">
                <w:pPr>
                  <w:pStyle w:val="Yes-No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304" w:type="dxa"/>
          </w:tcPr>
          <w:p w14:paraId="1D881F2F" w14:textId="203ED5CC">
            <w:pPr>
              <w:pStyle w:val="Yes-No"/>
              <w:spacing w:before="20" w:after="20"/>
              <w:rPr>
                <w:bCs w:val="0"/>
              </w:rPr>
            </w:pPr>
            <w:r>
              <w:rPr>
                <w:bCs w:val="0"/>
              </w:rPr>
              <w:t>The research involves only interaction, not intervention, with subjects.</w:t>
            </w:r>
          </w:p>
        </w:tc>
      </w:tr>
      <w:tr w14:paraId="3176BEF5" w14:textId="77777777">
        <w:trPr>
          <w:trHeight w:val="224"/>
        </w:trPr>
        <w:sdt>
          <w:sdtPr>
            <w:id w:val="-20793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0" w:type="dxa"/>
              </w:tcPr>
              <w:p w14:paraId="56DAC54A" w14:textId="2B578EB1">
                <w:pPr>
                  <w:pStyle w:val="Yes-No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304" w:type="dxa"/>
          </w:tcPr>
          <w:p w14:paraId="21CF86E5" w14:textId="66CA7053">
            <w:pPr>
              <w:pStyle w:val="Yes-No"/>
              <w:spacing w:before="20" w:after="20"/>
              <w:rPr>
                <w:bCs w:val="0"/>
              </w:rPr>
            </w:pPr>
            <w:r>
              <w:rPr>
                <w:bCs w:val="0"/>
              </w:rPr>
              <w:t>The emergency/disaster may create additional challenges in notifying participants of changes to consent documents.</w:t>
            </w:r>
          </w:p>
        </w:tc>
      </w:tr>
      <w:tr w14:paraId="1031CE0C" w14:textId="77777777">
        <w:trPr>
          <w:trHeight w:val="224"/>
        </w:trPr>
        <w:sdt>
          <w:sdtPr>
            <w:id w:val="81992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0" w:type="dxa"/>
                <w:tcBorders>
                  <w:bottom w:val="single" w:sz="18" w:space="0" w:color="auto"/>
                </w:tcBorders>
              </w:tcPr>
              <w:p w14:paraId="6CE8B231" w14:textId="237C8FBE">
                <w:pPr>
                  <w:pStyle w:val="Yes-No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304" w:type="dxa"/>
            <w:tcBorders>
              <w:bottom w:val="single" w:sz="18" w:space="0" w:color="auto"/>
            </w:tcBorders>
          </w:tcPr>
          <w:p w14:paraId="3608F1D2" w14:textId="7F43FEA2">
            <w:pPr>
              <w:pStyle w:val="Yes-No"/>
              <w:spacing w:before="20" w:after="20"/>
              <w:rPr>
                <w:bCs w:val="0"/>
              </w:rPr>
            </w:pPr>
            <w:r>
              <w:rPr>
                <w:bCs w:val="0"/>
              </w:rPr>
              <w:t>The research meets one of the eligibility categories for waiver of written documentation of consent listed in HRP-411 - CHECKLIST - Waiver of Written Documentation of Consent</w:t>
            </w:r>
          </w:p>
        </w:tc>
      </w:tr>
      <w:tr w14:paraId="069ECA31" w14:textId="77777777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  <w:gridSpan w:val="2"/>
            <w:tcBorders>
              <w:top w:val="single" w:sz="18" w:space="0" w:color="auto"/>
            </w:tcBorders>
          </w:tcPr>
          <w:p w14:paraId="10B18DEF" w14:textId="2A233B97">
            <w:pPr>
              <w:pStyle w:val="ChecklistLevel1"/>
              <w:numPr>
                <w:ilvl w:val="0"/>
                <w:numId w:val="18"/>
              </w:numPr>
              <w:spacing w:before="20" w:after="20"/>
              <w:ind w:left="330"/>
              <w:rPr>
                <w:bCs w:val="0"/>
              </w:rPr>
            </w:pPr>
            <w:r>
              <w:rPr>
                <w:b/>
              </w:rPr>
              <w:t xml:space="preserve">Alternate mechanisms for safety monitoring. </w:t>
            </w:r>
            <w:r>
              <w:t>(Check if “Yes.” All must be checked)</w:t>
            </w:r>
            <w:r>
              <w:rPr>
                <w:b/>
              </w:rPr>
              <w:t xml:space="preserve">  </w:t>
            </w:r>
          </w:p>
        </w:tc>
      </w:tr>
      <w:tr w14:paraId="0526DA4F" w14:textId="77777777">
        <w:trPr>
          <w:trHeight w:val="224"/>
        </w:trPr>
        <w:sdt>
          <w:sdtPr>
            <w:id w:val="448978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0" w:type="dxa"/>
              </w:tcPr>
              <w:p w14:paraId="1C1ECB99" w14:textId="2EFCC935">
                <w:pPr>
                  <w:pStyle w:val="Yes-No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304" w:type="dxa"/>
          </w:tcPr>
          <w:p w14:paraId="64755ABC" w14:textId="33E59E22">
            <w:pPr>
              <w:pStyle w:val="Yes-No"/>
              <w:spacing w:before="20" w:after="20"/>
              <w:rPr>
                <w:bCs w:val="0"/>
              </w:rPr>
            </w:pPr>
            <w:r>
              <w:rPr>
                <w:bCs w:val="0"/>
              </w:rPr>
              <w:t>The research involves protocol-specified visits to the investigational site.</w:t>
            </w:r>
          </w:p>
        </w:tc>
      </w:tr>
      <w:tr w14:paraId="6D60B532" w14:textId="77777777">
        <w:trPr>
          <w:trHeight w:val="224"/>
        </w:trPr>
        <w:sdt>
          <w:sdtPr>
            <w:id w:val="512894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0" w:type="dxa"/>
              </w:tcPr>
              <w:p w14:paraId="54E7F8FB" w14:textId="5F3CF3FD">
                <w:pPr>
                  <w:pStyle w:val="Yes-No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304" w:type="dxa"/>
          </w:tcPr>
          <w:p w14:paraId="62478907" w14:textId="486CD567">
            <w:pPr>
              <w:pStyle w:val="Yes-No"/>
              <w:spacing w:before="20" w:after="20"/>
              <w:rPr>
                <w:bCs w:val="0"/>
              </w:rPr>
            </w:pPr>
            <w:r>
              <w:rPr>
                <w:bCs w:val="0"/>
              </w:rPr>
              <w:t>Research subjects may not be able to come to the investigational site for protocol-specified visits due to the emergency/disaster.</w:t>
            </w:r>
          </w:p>
        </w:tc>
      </w:tr>
      <w:tr w14:paraId="1DE9A5A0" w14:textId="77777777">
        <w:trPr>
          <w:trHeight w:val="224"/>
        </w:trPr>
        <w:sdt>
          <w:sdtPr>
            <w:id w:val="1381286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0" w:type="dxa"/>
              </w:tcPr>
              <w:p w14:paraId="72AE9BE6" w14:textId="4249037E">
                <w:pPr>
                  <w:pStyle w:val="Yes-No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304" w:type="dxa"/>
          </w:tcPr>
          <w:p w14:paraId="2F9FBB85" w14:textId="05F1C881">
            <w:pPr>
              <w:pStyle w:val="Yes-No"/>
              <w:spacing w:before="20" w:after="20"/>
              <w:rPr>
                <w:bCs w:val="0"/>
              </w:rPr>
            </w:pPr>
            <w:r>
              <w:rPr>
                <w:bCs w:val="0"/>
              </w:rPr>
              <w:t>Alternative methods for safety assessments (e.g., phone contact, virtual visit, alternative location for assessment, including local labs or imaging centers) are available.</w:t>
            </w:r>
          </w:p>
        </w:tc>
      </w:tr>
      <w:tr w14:paraId="0BF323AE" w14:textId="77777777">
        <w:trPr>
          <w:trHeight w:val="224"/>
        </w:trPr>
        <w:sdt>
          <w:sdtPr>
            <w:id w:val="1914590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0" w:type="dxa"/>
              </w:tcPr>
              <w:p w14:paraId="08CB0EF3" w14:textId="3518EDCC">
                <w:pPr>
                  <w:pStyle w:val="Yes-No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304" w:type="dxa"/>
          </w:tcPr>
          <w:p w14:paraId="710946EF" w14:textId="67B6D2C5">
            <w:pPr>
              <w:pStyle w:val="Yes-No"/>
              <w:spacing w:before="20" w:after="20"/>
              <w:rPr>
                <w:bCs w:val="0"/>
              </w:rPr>
            </w:pPr>
            <w:r>
              <w:rPr>
                <w:bCs w:val="0"/>
              </w:rPr>
              <w:t>Alternative methods for safety assessments can feasibly be implemented.</w:t>
            </w:r>
          </w:p>
        </w:tc>
      </w:tr>
      <w:tr w14:paraId="010CBC60" w14:textId="77777777">
        <w:trPr>
          <w:trHeight w:val="224"/>
        </w:trPr>
        <w:sdt>
          <w:sdtPr>
            <w:id w:val="41189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0" w:type="dxa"/>
                <w:tcBorders>
                  <w:bottom w:val="single" w:sz="18" w:space="0" w:color="auto"/>
                </w:tcBorders>
              </w:tcPr>
              <w:p w14:paraId="0AAE6883" w14:textId="7296969C">
                <w:pPr>
                  <w:pStyle w:val="Yes-No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304" w:type="dxa"/>
            <w:tcBorders>
              <w:bottom w:val="single" w:sz="18" w:space="0" w:color="auto"/>
            </w:tcBorders>
          </w:tcPr>
          <w:p w14:paraId="5FEC2322" w14:textId="6BC0C161">
            <w:pPr>
              <w:pStyle w:val="Yes-No"/>
              <w:spacing w:before="20" w:after="20"/>
              <w:rPr>
                <w:bCs w:val="0"/>
              </w:rPr>
            </w:pPr>
            <w:r>
              <w:rPr>
                <w:bCs w:val="0"/>
              </w:rPr>
              <w:t>Alternative methods for safety assessments) would be sufficient to assure the safety of trial participants.</w:t>
            </w:r>
          </w:p>
        </w:tc>
      </w:tr>
      <w:tr w14:paraId="60FDA48F" w14:textId="77777777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  <w:gridSpan w:val="2"/>
            <w:tcBorders>
              <w:top w:val="single" w:sz="18" w:space="0" w:color="auto"/>
            </w:tcBorders>
          </w:tcPr>
          <w:p w14:paraId="0CEC5175" w14:textId="4AD3F3AB">
            <w:pPr>
              <w:pStyle w:val="ChecklistLevel1"/>
              <w:numPr>
                <w:ilvl w:val="0"/>
                <w:numId w:val="18"/>
              </w:numPr>
              <w:spacing w:before="20" w:after="20"/>
              <w:ind w:left="330"/>
              <w:rPr>
                <w:b/>
              </w:rPr>
            </w:pPr>
            <w:r>
              <w:rPr>
                <w:b/>
              </w:rPr>
              <w:t>Additional flexibility in oversight of research not subject to federal regulations.</w:t>
            </w:r>
            <w:r>
              <w:rPr>
                <w:bCs w:val="0"/>
              </w:rPr>
              <w:t xml:space="preserve"> </w:t>
            </w:r>
            <w:r>
              <w:t>(Check if “Yes.” All must be checked)</w:t>
            </w:r>
          </w:p>
        </w:tc>
      </w:tr>
      <w:tr w14:paraId="2C694D1F" w14:textId="77777777">
        <w:trPr>
          <w:trHeight w:val="260"/>
        </w:trPr>
        <w:sdt>
          <w:sdtPr>
            <w:id w:val="-813940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0" w:type="dxa"/>
              </w:tcPr>
              <w:p w14:paraId="37529A9D" w14:textId="181E106B">
                <w:pPr>
                  <w:pStyle w:val="Yes-No"/>
                  <w:rPr>
                    <w:bCs w:val="0"/>
                  </w:rPr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304" w:type="dxa"/>
          </w:tcPr>
          <w:p w14:paraId="7702404A" w14:textId="40F621D7">
            <w:pPr>
              <w:pStyle w:val="Yes-No"/>
              <w:spacing w:before="20" w:after="20"/>
            </w:pPr>
            <w:r>
              <w:t>The research is not covered by federal regulations.</w:t>
            </w:r>
          </w:p>
        </w:tc>
      </w:tr>
      <w:tr w14:paraId="32DF21AE" w14:textId="77777777">
        <w:trPr>
          <w:trHeight w:val="260"/>
        </w:trPr>
        <w:sdt>
          <w:sdtPr>
            <w:id w:val="-19481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0" w:type="dxa"/>
                <w:tcBorders>
                  <w:bottom w:val="single" w:sz="18" w:space="0" w:color="auto"/>
                </w:tcBorders>
              </w:tcPr>
              <w:p w14:paraId="2F7024B1" w14:textId="2EF1C25E">
                <w:pPr>
                  <w:pStyle w:val="Yes-No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304" w:type="dxa"/>
            <w:tcBorders>
              <w:bottom w:val="single" w:sz="18" w:space="0" w:color="auto"/>
            </w:tcBorders>
          </w:tcPr>
          <w:p w14:paraId="6A90C03C" w14:textId="3C83BC09">
            <w:pPr>
              <w:pStyle w:val="Yes-No"/>
              <w:spacing w:before="20" w:after="20"/>
              <w:rPr>
                <w:b/>
              </w:rPr>
            </w:pPr>
            <w:r>
              <w:rPr>
                <w:bCs w:val="0"/>
              </w:rPr>
              <w:t xml:space="preserve">One or more of the following options is feasible and appropriate during an emergency/disaster to provide </w:t>
            </w:r>
            <w:r>
              <w:rPr>
                <w:bCs w:val="0"/>
                <w:szCs w:val="20"/>
              </w:rPr>
              <w:t>necessary flexibility for study teams while continuing to assure research subject safety</w:t>
            </w:r>
            <w:r>
              <w:rPr>
                <w:bCs w:val="0"/>
              </w:rPr>
              <w:t>:</w:t>
            </w:r>
          </w:p>
          <w:p w14:paraId="451AD373" w14:textId="4037B439">
            <w:pPr>
              <w:pStyle w:val="Yes-No"/>
              <w:spacing w:before="20" w:after="20"/>
              <w:rPr>
                <w:bCs w:val="0"/>
              </w:rPr>
            </w:pPr>
            <w:sdt>
              <w:sdtPr>
                <w:id w:val="-166717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bCs w:val="0"/>
              </w:rPr>
              <w:t xml:space="preserve"> Extend continuing review dates during the anticipated period an emergency. </w:t>
            </w:r>
          </w:p>
          <w:p w14:paraId="7C3C5D95" w14:textId="3409C507">
            <w:pPr>
              <w:pStyle w:val="Yes-No"/>
              <w:spacing w:before="20" w:after="20"/>
              <w:rPr>
                <w:bCs w:val="0"/>
              </w:rPr>
            </w:pPr>
            <w:sdt>
              <w:sdtPr>
                <w:id w:val="657037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bCs w:val="0"/>
              </w:rPr>
              <w:t xml:space="preserve"> Allow minor changes to be reported to the IRB or EC without requiring IRB or EC approval prior to implementation.</w:t>
            </w:r>
          </w:p>
        </w:tc>
      </w:tr>
      <w:tr w14:paraId="2F839BE9" w14:textId="77777777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4" w:type="dxa"/>
            <w:gridSpan w:val="2"/>
          </w:tcPr>
          <w:p w14:paraId="32BD9ED8" w14:textId="07ACC95C">
            <w:pPr>
              <w:pStyle w:val="Yes-No"/>
              <w:numPr>
                <w:ilvl w:val="0"/>
                <w:numId w:val="18"/>
              </w:numPr>
              <w:tabs>
                <w:tab w:val="clear" w:pos="720"/>
              </w:tabs>
              <w:spacing w:before="20" w:after="20"/>
              <w:ind w:left="330"/>
              <w:rPr>
                <w:bCs w:val="0"/>
              </w:rPr>
            </w:pPr>
            <w:r>
              <w:rPr>
                <w:b/>
              </w:rPr>
              <w:t>Other mechanisms for additional flexibility not described above</w:t>
            </w:r>
            <w:r>
              <w:rPr>
                <w:bCs w:val="0"/>
              </w:rPr>
              <w:t xml:space="preserve">. In addition to the options above, additional considerations in providing added flexibility to study teams during emergency/disaster situations may be appropriate where any of the following is true. </w:t>
            </w:r>
            <w:r>
              <w:t>(Check if “Yes”)</w:t>
            </w:r>
          </w:p>
        </w:tc>
      </w:tr>
      <w:tr w14:paraId="1E612B23" w14:textId="77777777">
        <w:trPr>
          <w:trHeight w:val="260"/>
        </w:trPr>
        <w:sdt>
          <w:sdtPr>
            <w:id w:val="-572045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0" w:type="dxa"/>
              </w:tcPr>
              <w:p w14:paraId="5D0004A7" w14:textId="0681A91B">
                <w:pPr>
                  <w:pStyle w:val="Yes-No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304" w:type="dxa"/>
          </w:tcPr>
          <w:p w14:paraId="64BF6A62" w14:textId="6FFA1470">
            <w:pPr>
              <w:pStyle w:val="Yes-No"/>
              <w:spacing w:before="20" w:after="20"/>
              <w:rPr>
                <w:bCs w:val="0"/>
              </w:rPr>
            </w:pPr>
            <w:r>
              <w:rPr>
                <w:bCs w:val="0"/>
              </w:rPr>
              <w:t xml:space="preserve">Additional institution-level information related to emergency/disaster planning (and not otherwise specified above) provides additional guidance in providing additional flexibility or support to study teams managing research during and emergency/disaster. </w:t>
            </w:r>
          </w:p>
        </w:tc>
      </w:tr>
      <w:tr w14:paraId="0625F4D6" w14:textId="77777777">
        <w:trPr>
          <w:trHeight w:val="260"/>
        </w:trPr>
        <w:sdt>
          <w:sdtPr>
            <w:id w:val="1927990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90" w:type="dxa"/>
              </w:tcPr>
              <w:p w14:paraId="38CEB5C5" w14:textId="07E33BC7">
                <w:pPr>
                  <w:pStyle w:val="Yes-No"/>
                </w:pPr>
                <w:r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304" w:type="dxa"/>
            <w:vAlign w:val="center"/>
          </w:tcPr>
          <w:p w14:paraId="6D202B31" w14:textId="3378F691">
            <w:pPr>
              <w:pStyle w:val="Yes-No"/>
              <w:spacing w:before="20" w:after="20"/>
            </w:pPr>
            <w:r>
              <w:t xml:space="preserve">Federal guidance or communications related to managing research during the emergency/disaster is issued and provides additional flexibility or resources. </w:t>
            </w:r>
          </w:p>
        </w:tc>
      </w:tr>
      <w:tr w14:paraId="48F13DCF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" w:type="dxa"/>
            <w:shd w:val="clear" w:color="auto" w:fill="000000" w:themeFill="text1"/>
          </w:tcPr>
          <w:p w14:paraId="0D9B84C8" w14:textId="2EB4F3D2">
            <w:pPr>
              <w:pStyle w:val="Yes-No"/>
              <w:rPr>
                <w:bCs w:val="0"/>
                <w:sz w:val="4"/>
                <w:szCs w:val="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304" w:type="dxa"/>
            <w:shd w:val="clear" w:color="auto" w:fill="000000" w:themeFill="text1"/>
            <w:vAlign w:val="center"/>
          </w:tcPr>
          <w:p w14:paraId="224194AC" w14:textId="3B831477">
            <w:pPr>
              <w:rPr>
                <w:rFonts w:ascii="Arial Narrow" w:hAnsi="Arial Narrow"/>
                <w:b w:val="0"/>
                <w:bCs w:val="0"/>
                <w:sz w:val="4"/>
                <w:szCs w:val="8"/>
              </w:rPr>
            </w:pPr>
          </w:p>
        </w:tc>
      </w:tr>
    </w:tbl>
    <w:p w14:paraId="67DCF469" w14:textId="494A3ADD">
      <w:pPr>
        <w:spacing w:line="200" w:lineRule="exact"/>
        <w:rPr>
          <w:rFonts w:ascii="Arial Narrow" w:hAnsi="Arial Narrow"/>
          <w:bCs/>
          <w:sz w:val="20"/>
          <w:szCs w:val="20"/>
        </w:rPr>
      </w:pPr>
    </w:p>
    <w:p w14:paraId="3FC10268" w14:textId="4690CF5B">
      <w:pPr>
        <w:spacing w:line="200" w:lineRule="exact"/>
        <w:rPr>
          <w:rFonts w:ascii="Arial Narrow" w:hAnsi="Arial Narrow"/>
          <w:bCs/>
          <w:sz w:val="20"/>
          <w:szCs w:val="20"/>
        </w:rPr>
      </w:pPr>
    </w:p>
    <w:p w14:paraId="3C6FB84B" w14:textId="4EB5683A">
      <w:pPr>
        <w:spacing w:line="200" w:lineRule="exact"/>
        <w:rPr>
          <w:rFonts w:ascii="Arial Narrow" w:hAnsi="Arial Narrow"/>
          <w:bCs/>
          <w:sz w:val="20"/>
          <w:szCs w:val="20"/>
        </w:rPr>
      </w:pPr>
    </w:p>
    <w:p w14:paraId="085C87B5" w14:textId="77777777">
      <w:pPr>
        <w:spacing w:line="200" w:lineRule="exact"/>
        <w:rPr>
          <w:rFonts w:ascii="Arial Narrow" w:hAnsi="Arial Narrow"/>
          <w:bCs/>
          <w:sz w:val="20"/>
          <w:szCs w:val="20"/>
        </w:rPr>
      </w:pPr>
    </w:p>
    <w:sectPr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2240" w:h="15840"/>
      <w:pgMar w:top="2160" w:right="720" w:bottom="432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3C55F" w14:textId="77777777">
      <w:r>
        <w:separator/>
      </w:r>
    </w:p>
  </w:endnote>
  <w:endnote w:type="continuationSeparator" w:id="0">
    <w:p w14:paraId="7DC02730" w14:textId="77777777">
      <w:r>
        <w:continuationSeparator/>
      </w:r>
    </w:p>
  </w:endnote>
  <w:endnote w:type="continuationNotice" w:id="1">
    <w:p w14:paraId="218D7B5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410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7964" w14:textId="63340A32">
    <w:pPr>
      <w:pStyle w:val="SOPFooter"/>
      <w:tabs>
        <w:tab w:val="right" w:pos="9720"/>
        <w:tab w:val="right" w:pos="106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317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5BD1F" w14:textId="77777777">
      <w:r>
        <w:separator/>
      </w:r>
    </w:p>
  </w:footnote>
  <w:footnote w:type="continuationSeparator" w:id="0">
    <w:p w14:paraId="5344F14B" w14:textId="77777777">
      <w:r>
        <w:continuationSeparator/>
      </w:r>
    </w:p>
  </w:footnote>
  <w:footnote w:type="continuationNotice" w:id="1">
    <w:p w14:paraId="201FC570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0DB0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D4B4" w14:textId="7DFB4C76">
    <w:pPr>
      <w:pStyle w:val="Header"/>
      <w:rPr>
        <w:sz w:val="2"/>
        <w:szCs w:val="2"/>
      </w:rPr>
    </w:pPr>
  </w:p>
  <w:p w14:paraId="2CB13E55" w14:textId="26B11946">
    <w:pPr>
      <w:pStyle w:val="Header"/>
      <w:rPr>
        <w:sz w:val="2"/>
        <w:szCs w:val="2"/>
      </w:rPr>
    </w:pPr>
  </w:p>
  <w:p w14:paraId="73235676" w14:textId="2DB8EA60">
    <w:pPr>
      <w:pStyle w:val="Header"/>
      <w:rPr>
        <w:sz w:val="2"/>
        <w:szCs w:val="2"/>
      </w:rPr>
    </w:pPr>
  </w:p>
  <w:p w14:paraId="2A0421F1" w14:textId="7B96F5CF">
    <w:pPr>
      <w:pStyle w:val="Header"/>
      <w:rPr>
        <w:sz w:val="2"/>
        <w:szCs w:val="2"/>
      </w:rPr>
    </w:pPr>
  </w:p>
  <w:p w14:paraId="69610F8A" w14:textId="4B9E1F63">
    <w:pPr>
      <w:pStyle w:val="Header"/>
      <w:rPr>
        <w:sz w:val="2"/>
        <w:szCs w:val="2"/>
      </w:rPr>
    </w:pPr>
  </w:p>
  <w:p w14:paraId="0C26F548" w14:textId="4D9C763D">
    <w:pPr>
      <w:pStyle w:val="Header"/>
      <w:rPr>
        <w:sz w:val="2"/>
        <w:szCs w:val="2"/>
      </w:rPr>
    </w:pPr>
  </w:p>
  <w:p w14:paraId="0670ED03" w14:textId="35414051">
    <w:pPr>
      <w:pStyle w:val="Header"/>
      <w:rPr>
        <w:sz w:val="2"/>
        <w:szCs w:val="2"/>
      </w:rPr>
    </w:pPr>
  </w:p>
  <w:p w14:paraId="234D2E0E" w14:textId="62ECA5A0">
    <w:pPr>
      <w:pStyle w:val="Header"/>
      <w:rPr>
        <w:sz w:val="2"/>
        <w:szCs w:val="2"/>
      </w:rPr>
    </w:pPr>
  </w:p>
  <w:p w14:paraId="2B9AE376" w14:textId="7014F4C4">
    <w:pPr>
      <w:pStyle w:val="Header"/>
      <w:rPr>
        <w:sz w:val="2"/>
        <w:szCs w:val="2"/>
      </w:rPr>
    </w:pPr>
  </w:p>
  <w:p w14:paraId="6EFEE74E" w14:textId="43FC8EF3">
    <w:pPr>
      <w:pStyle w:val="Header"/>
      <w:rPr>
        <w:sz w:val="2"/>
        <w:szCs w:val="2"/>
      </w:rPr>
    </w:pPr>
  </w:p>
  <w:p w14:paraId="4B04E49B" w14:textId="15C2F078">
    <w:pPr>
      <w:pStyle w:val="Header"/>
      <w:rPr>
        <w:sz w:val="2"/>
        <w:szCs w:val="2"/>
      </w:rPr>
    </w:pPr>
  </w:p>
  <w:p w14:paraId="728FDD1E" w14:textId="1422CA94">
    <w:pPr>
      <w:pStyle w:val="Header"/>
      <w:rPr>
        <w:sz w:val="2"/>
        <w:szCs w:val="2"/>
      </w:rPr>
    </w:pPr>
  </w:p>
  <w:p w14:paraId="15C23ADA" w14:textId="575881AE">
    <w:pPr>
      <w:pStyle w:val="Header"/>
      <w:rPr>
        <w:sz w:val="2"/>
        <w:szCs w:val="2"/>
      </w:rPr>
    </w:pPr>
  </w:p>
  <w:p w14:paraId="7973CACC" w14:textId="6A37E519">
    <w:pPr>
      <w:pStyle w:val="Header"/>
      <w:rPr>
        <w:sz w:val="2"/>
        <w:szCs w:val="2"/>
      </w:rPr>
    </w:pPr>
  </w:p>
  <w:p w14:paraId="7D5CECFC" w14:textId="70FC77E1">
    <w:pPr>
      <w:pStyle w:val="Header"/>
      <w:rPr>
        <w:sz w:val="2"/>
        <w:szCs w:val="2"/>
      </w:rPr>
    </w:pPr>
  </w:p>
  <w:p w14:paraId="208FE827" w14:textId="77777777">
    <w:pPr>
      <w:pStyle w:val="Header"/>
      <w:rPr>
        <w:sz w:val="2"/>
        <w:szCs w:val="2"/>
      </w:rPr>
    </w:pPr>
  </w:p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331"/>
      <w:gridCol w:w="4040"/>
      <w:gridCol w:w="2212"/>
      <w:gridCol w:w="2223"/>
    </w:tblGrid>
    <w:tr w14:paraId="33E50D1A" w14:textId="77777777">
      <w:trPr>
        <w:cantSplit/>
        <w:trHeight w:val="260"/>
      </w:trPr>
      <w:tc>
        <w:tcPr>
          <w:tcW w:w="2331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8BB18E9" w14:textId="2F15B442">
          <w:pPr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6EB110BB" wp14:editId="72F4B12D">
                <wp:extent cx="1343025" cy="714375"/>
                <wp:effectExtent l="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3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B76D33" w14:textId="7D60C127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WORKSHEET: Additional Emergency-Disaster Review Considerations</w:t>
          </w:r>
        </w:p>
      </w:tc>
    </w:tr>
    <w:tr w14:paraId="26C8B0B8" w14:textId="77777777">
      <w:trPr>
        <w:cantSplit/>
        <w:trHeight w:val="288"/>
      </w:trPr>
      <w:tc>
        <w:tcPr>
          <w:tcW w:w="2331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5347489" w14:textId="77777777">
          <w:pPr>
            <w:rPr>
              <w:rFonts w:ascii="Arial" w:hAnsi="Arial" w:cs="Arial"/>
            </w:rPr>
          </w:pPr>
        </w:p>
      </w:tc>
      <w:tc>
        <w:tcPr>
          <w:tcW w:w="4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7867A0A8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22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A8B34A8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096FF2F7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14:paraId="2D3238B5" w14:textId="77777777">
      <w:trPr>
        <w:cantSplit/>
        <w:trHeight w:val="288"/>
      </w:trPr>
      <w:tc>
        <w:tcPr>
          <w:tcW w:w="2331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C304527" w14:textId="77777777">
          <w:pPr>
            <w:rPr>
              <w:rFonts w:ascii="Arial" w:hAnsi="Arial" w:cs="Arial"/>
            </w:rPr>
          </w:pPr>
        </w:p>
      </w:tc>
      <w:tc>
        <w:tcPr>
          <w:tcW w:w="4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2D9DFDA" w14:textId="0597F431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HRP-352</w:t>
          </w:r>
        </w:p>
      </w:tc>
      <w:tc>
        <w:tcPr>
          <w:tcW w:w="22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5B6DA39B" w14:textId="1ADD26EC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12/10/2021</w:t>
          </w:r>
        </w:p>
      </w:tc>
      <w:tc>
        <w:tcPr>
          <w:tcW w:w="222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82A635A" w14:textId="77777777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5C767D8B" w14:textId="1DBD6665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B46C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17A11"/>
    <w:multiLevelType w:val="hybridMultilevel"/>
    <w:tmpl w:val="557E1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7EC1E81"/>
    <w:multiLevelType w:val="hybridMultilevel"/>
    <w:tmpl w:val="EB0A8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FB6BAB"/>
    <w:multiLevelType w:val="multilevel"/>
    <w:tmpl w:val="1A78DA38"/>
    <w:styleLink w:val="BulletLevel1"/>
    <w:lvl w:ilvl="0">
      <w:start w:val="1"/>
      <w:numFmt w:val="bullet"/>
      <w:pStyle w:val="Basi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>
      <w:start w:val="1"/>
      <w:numFmt w:val="bullet"/>
      <w:pStyle w:val="Basis2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pStyle w:val="Basis3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pStyle w:val="Basi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pStyle w:val="Basis5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DC2524"/>
    <w:multiLevelType w:val="hybridMultilevel"/>
    <w:tmpl w:val="23FCE760"/>
    <w:lvl w:ilvl="0" w:tplc="4A74CD7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82879"/>
    <w:multiLevelType w:val="multilevel"/>
    <w:tmpl w:val="895E575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7D165A2"/>
    <w:multiLevelType w:val="multilevel"/>
    <w:tmpl w:val="C9124872"/>
    <w:lvl w:ilvl="0">
      <w:start w:val="1"/>
      <w:numFmt w:val="bullet"/>
      <w:pStyle w:val="Bullet1"/>
      <w:lvlText w:val=""/>
      <w:lvlJc w:val="left"/>
      <w:pPr>
        <w:tabs>
          <w:tab w:val="num" w:pos="576"/>
        </w:tabs>
        <w:ind w:left="432" w:hanging="216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864"/>
        </w:tabs>
        <w:ind w:left="720" w:hanging="216"/>
      </w:pPr>
      <w:rPr>
        <w:rFonts w:ascii="Courier New" w:hAnsi="Courier New" w:hint="default"/>
        <w:b w:val="0"/>
        <w:i w:val="0"/>
        <w:sz w:val="20"/>
      </w:rPr>
    </w:lvl>
    <w:lvl w:ilvl="2">
      <w:start w:val="1"/>
      <w:numFmt w:val="bullet"/>
      <w:pStyle w:val="Bullet3"/>
      <w:lvlText w:val=""/>
      <w:lvlJc w:val="left"/>
      <w:pPr>
        <w:tabs>
          <w:tab w:val="num" w:pos="1008"/>
        </w:tabs>
        <w:ind w:left="864" w:hanging="216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"/>
      <w:lvlJc w:val="left"/>
      <w:pPr>
        <w:tabs>
          <w:tab w:val="num" w:pos="1224"/>
        </w:tabs>
        <w:ind w:left="1080" w:hanging="216"/>
      </w:pPr>
      <w:rPr>
        <w:rFonts w:ascii="Symbol" w:hAnsi="Symbol" w:hint="default"/>
        <w:b w:val="0"/>
        <w:i w:val="0"/>
        <w:sz w:val="16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62440B41"/>
    <w:multiLevelType w:val="hybridMultilevel"/>
    <w:tmpl w:val="5A5A8D9A"/>
    <w:lvl w:ilvl="0" w:tplc="2FB829DC">
      <w:start w:val="2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2572044">
    <w:abstractNumId w:val="16"/>
  </w:num>
  <w:num w:numId="2" w16cid:durableId="1402370420">
    <w:abstractNumId w:val="11"/>
  </w:num>
  <w:num w:numId="3" w16cid:durableId="1171143072">
    <w:abstractNumId w:val="18"/>
  </w:num>
  <w:num w:numId="4" w16cid:durableId="1310281142">
    <w:abstractNumId w:val="9"/>
  </w:num>
  <w:num w:numId="5" w16cid:durableId="1419910050">
    <w:abstractNumId w:val="7"/>
  </w:num>
  <w:num w:numId="6" w16cid:durableId="547034997">
    <w:abstractNumId w:val="6"/>
  </w:num>
  <w:num w:numId="7" w16cid:durableId="1217086039">
    <w:abstractNumId w:val="5"/>
  </w:num>
  <w:num w:numId="8" w16cid:durableId="390232019">
    <w:abstractNumId w:val="4"/>
  </w:num>
  <w:num w:numId="9" w16cid:durableId="326137068">
    <w:abstractNumId w:val="8"/>
  </w:num>
  <w:num w:numId="10" w16cid:durableId="2120493173">
    <w:abstractNumId w:val="3"/>
  </w:num>
  <w:num w:numId="11" w16cid:durableId="1375428529">
    <w:abstractNumId w:val="2"/>
  </w:num>
  <w:num w:numId="12" w16cid:durableId="397097805">
    <w:abstractNumId w:val="1"/>
  </w:num>
  <w:num w:numId="13" w16cid:durableId="1250122427">
    <w:abstractNumId w:val="0"/>
  </w:num>
  <w:num w:numId="14" w16cid:durableId="443966759">
    <w:abstractNumId w:val="15"/>
  </w:num>
  <w:num w:numId="15" w16cid:durableId="1246767747">
    <w:abstractNumId w:val="20"/>
  </w:num>
  <w:num w:numId="16" w16cid:durableId="1604533879">
    <w:abstractNumId w:val="17"/>
  </w:num>
  <w:num w:numId="17" w16cid:durableId="996610607">
    <w:abstractNumId w:val="13"/>
  </w:num>
  <w:num w:numId="18" w16cid:durableId="115223564">
    <w:abstractNumId w:val="14"/>
  </w:num>
  <w:num w:numId="19" w16cid:durableId="861550050">
    <w:abstractNumId w:val="10"/>
  </w:num>
  <w:num w:numId="20" w16cid:durableId="727344688">
    <w:abstractNumId w:val="12"/>
  </w:num>
  <w:num w:numId="21" w16cid:durableId="1742484431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190585D-72DA-4C0D-AEF0-E9473C08B3C2}"/>
    <w:docVar w:name="dgnword-eventsink" w:val="169419560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4"/>
      </w:numPr>
    </w:pPr>
  </w:style>
  <w:style w:type="paragraph" w:styleId="ListBullet2">
    <w:name w:val="List Bullet 2"/>
    <w:basedOn w:val="Normal"/>
    <w:semiHidden/>
    <w:pPr>
      <w:numPr>
        <w:numId w:val="5"/>
      </w:numPr>
    </w:pPr>
  </w:style>
  <w:style w:type="paragraph" w:styleId="ListBullet3">
    <w:name w:val="List Bullet 3"/>
    <w:basedOn w:val="Normal"/>
    <w:semiHidden/>
    <w:pPr>
      <w:numPr>
        <w:numId w:val="6"/>
      </w:numPr>
    </w:pPr>
  </w:style>
  <w:style w:type="paragraph" w:styleId="ListBullet4">
    <w:name w:val="List Bullet 4"/>
    <w:basedOn w:val="Normal"/>
    <w:semiHidden/>
    <w:pPr>
      <w:numPr>
        <w:numId w:val="7"/>
      </w:numPr>
    </w:pPr>
  </w:style>
  <w:style w:type="paragraph" w:styleId="ListBullet5">
    <w:name w:val="List Bullet 5"/>
    <w:basedOn w:val="Normal"/>
    <w:semiHidden/>
    <w:pPr>
      <w:numPr>
        <w:numId w:val="8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9"/>
      </w:numPr>
    </w:pPr>
  </w:style>
  <w:style w:type="paragraph" w:styleId="ListNumber2">
    <w:name w:val="List Number 2"/>
    <w:basedOn w:val="Normal"/>
    <w:semiHidden/>
    <w:pPr>
      <w:numPr>
        <w:numId w:val="10"/>
      </w:numPr>
    </w:pPr>
  </w:style>
  <w:style w:type="paragraph" w:styleId="ListNumber3">
    <w:name w:val="List Number 3"/>
    <w:basedOn w:val="Normal"/>
    <w:semiHidden/>
    <w:pPr>
      <w:numPr>
        <w:numId w:val="11"/>
      </w:numPr>
    </w:pPr>
  </w:style>
  <w:style w:type="paragraph" w:styleId="ListNumber4">
    <w:name w:val="List Number 4"/>
    <w:basedOn w:val="Normal"/>
    <w:semiHidden/>
    <w:pPr>
      <w:numPr>
        <w:numId w:val="12"/>
      </w:numPr>
    </w:pPr>
  </w:style>
  <w:style w:type="paragraph" w:styleId="ListNumber5">
    <w:name w:val="List Number 5"/>
    <w:basedOn w:val="Normal"/>
    <w:semiHidden/>
    <w:pPr>
      <w:numPr>
        <w:numId w:val="13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Pr>
      <w:sz w:val="24"/>
    </w:rPr>
  </w:style>
  <w:style w:type="paragraph" w:customStyle="1" w:styleId="ChecklistLevel1">
    <w:name w:val="Checklist Level 1"/>
    <w:basedOn w:val="ChecklistBasis"/>
    <w:rPr>
      <w:b/>
    </w:rPr>
  </w:style>
  <w:style w:type="paragraph" w:customStyle="1" w:styleId="ChecklistLevel2">
    <w:name w:val="Checklist Level 2"/>
    <w:basedOn w:val="ChecklistLevel1"/>
    <w:pPr>
      <w:numPr>
        <w:ilvl w:val="1"/>
      </w:numPr>
      <w:tabs>
        <w:tab w:val="left" w:pos="720"/>
        <w:tab w:val="num" w:pos="1440"/>
      </w:tabs>
      <w:ind w:left="1440" w:hanging="360"/>
    </w:pPr>
    <w:rPr>
      <w:b w:val="0"/>
    </w:rPr>
  </w:style>
  <w:style w:type="paragraph" w:customStyle="1" w:styleId="ChecklistLevel3">
    <w:name w:val="Checklist Level 3"/>
    <w:basedOn w:val="ChecklistLevel2"/>
    <w:pPr>
      <w:numPr>
        <w:ilvl w:val="2"/>
      </w:numPr>
      <w:tabs>
        <w:tab w:val="clear" w:pos="720"/>
        <w:tab w:val="num" w:pos="1440"/>
        <w:tab w:val="left" w:pos="1728"/>
        <w:tab w:val="num" w:pos="2160"/>
      </w:tabs>
      <w:ind w:left="2160" w:hanging="360"/>
    </w:pPr>
  </w:style>
  <w:style w:type="paragraph" w:customStyle="1" w:styleId="ChecklistLevel4">
    <w:name w:val="Checklist Level 4"/>
    <w:basedOn w:val="ChecklistLevel3"/>
    <w:pPr>
      <w:numPr>
        <w:ilvl w:val="3"/>
      </w:numPr>
      <w:tabs>
        <w:tab w:val="clear" w:pos="1728"/>
        <w:tab w:val="num" w:pos="1440"/>
        <w:tab w:val="num" w:pos="2880"/>
        <w:tab w:val="left" w:pos="3024"/>
      </w:tabs>
      <w:ind w:left="2880" w:hanging="360"/>
    </w:pPr>
  </w:style>
  <w:style w:type="character" w:customStyle="1" w:styleId="ChecklistLeader">
    <w:name w:val="Checklist Leader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pPr>
      <w:numPr>
        <w:ilvl w:val="0"/>
      </w:numPr>
      <w:tabs>
        <w:tab w:val="num" w:pos="1440"/>
      </w:tabs>
      <w:ind w:left="720" w:hanging="360"/>
    </w:pPr>
  </w:style>
  <w:style w:type="paragraph" w:customStyle="1" w:styleId="ExplanationLevel3">
    <w:name w:val="Explanation Level 3"/>
    <w:basedOn w:val="ChecklistLevel3"/>
    <w:next w:val="ChecklistLevel3"/>
    <w:pPr>
      <w:numPr>
        <w:ilvl w:val="0"/>
      </w:numPr>
      <w:tabs>
        <w:tab w:val="clear" w:pos="1728"/>
        <w:tab w:val="num" w:pos="1440"/>
      </w:tabs>
      <w:ind w:left="1728" w:hanging="360"/>
    </w:pPr>
  </w:style>
  <w:style w:type="paragraph" w:customStyle="1" w:styleId="ExplanationLevel4">
    <w:name w:val="Explanation Level 4"/>
    <w:basedOn w:val="ChecklistLevel4"/>
    <w:next w:val="ChecklistLevel4"/>
    <w:pPr>
      <w:numPr>
        <w:ilvl w:val="0"/>
      </w:numPr>
      <w:tabs>
        <w:tab w:val="clear" w:pos="3024"/>
        <w:tab w:val="num" w:pos="1440"/>
      </w:tabs>
      <w:ind w:left="3060" w:hanging="360"/>
    </w:pPr>
  </w:style>
  <w:style w:type="paragraph" w:customStyle="1" w:styleId="ChecklistTableHeader">
    <w:name w:val="Checklist Table Header"/>
    <w:basedOn w:val="ChecklistBasis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pPr>
      <w:spacing w:after="1080"/>
    </w:pPr>
  </w:style>
  <w:style w:type="paragraph" w:customStyle="1" w:styleId="CommentLevel3">
    <w:name w:val="Comment Level 3"/>
    <w:basedOn w:val="CommentLevel2"/>
    <w:next w:val="ChecklistLevel3"/>
    <w:pPr>
      <w:ind w:left="1728"/>
    </w:pPr>
  </w:style>
  <w:style w:type="paragraph" w:customStyle="1" w:styleId="CommentLevel4">
    <w:name w:val="Comment Level 4"/>
    <w:basedOn w:val="CommentLevel3"/>
    <w:next w:val="ChecklistLevel4"/>
    <w:pPr>
      <w:ind w:left="3067"/>
    </w:pPr>
  </w:style>
  <w:style w:type="paragraph" w:customStyle="1" w:styleId="ChecklistTableLabel">
    <w:name w:val="Checklist Table Label"/>
    <w:basedOn w:val="ChecklistBasis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</w:style>
  <w:style w:type="paragraph" w:customStyle="1" w:styleId="ChecklistSimple">
    <w:name w:val="Checklist Simple"/>
    <w:basedOn w:val="ChecklistLevel2"/>
    <w:pPr>
      <w:numPr>
        <w:ilvl w:val="0"/>
        <w:numId w:val="15"/>
      </w:numPr>
    </w:pPr>
  </w:style>
  <w:style w:type="paragraph" w:customStyle="1" w:styleId="Bullet1">
    <w:name w:val="Bullet 1"/>
    <w:basedOn w:val="Normal"/>
    <w:pPr>
      <w:numPr>
        <w:numId w:val="16"/>
      </w:numPr>
      <w:tabs>
        <w:tab w:val="clear" w:pos="576"/>
      </w:tabs>
    </w:pPr>
    <w:rPr>
      <w:sz w:val="16"/>
      <w:szCs w:val="20"/>
    </w:rPr>
  </w:style>
  <w:style w:type="paragraph" w:customStyle="1" w:styleId="Bullet2">
    <w:name w:val="Bullet 2"/>
    <w:basedOn w:val="Bullet1"/>
    <w:pPr>
      <w:numPr>
        <w:ilvl w:val="1"/>
      </w:numPr>
      <w:tabs>
        <w:tab w:val="clear" w:pos="864"/>
        <w:tab w:val="num" w:pos="360"/>
      </w:tabs>
    </w:pPr>
  </w:style>
  <w:style w:type="paragraph" w:customStyle="1" w:styleId="Bullet3">
    <w:name w:val="Bullet 3"/>
    <w:basedOn w:val="Bullet1"/>
    <w:pPr>
      <w:numPr>
        <w:ilvl w:val="2"/>
      </w:numPr>
      <w:tabs>
        <w:tab w:val="clear" w:pos="1008"/>
        <w:tab w:val="num" w:pos="360"/>
      </w:tabs>
      <w:ind w:left="1037"/>
    </w:pPr>
  </w:style>
  <w:style w:type="paragraph" w:customStyle="1" w:styleId="Bullet4">
    <w:name w:val="Bullet 4"/>
    <w:basedOn w:val="Bullet1"/>
    <w:pPr>
      <w:numPr>
        <w:ilvl w:val="3"/>
      </w:numPr>
      <w:tabs>
        <w:tab w:val="clear" w:pos="1224"/>
        <w:tab w:val="num" w:pos="360"/>
      </w:tabs>
      <w:ind w:left="1397"/>
    </w:pPr>
  </w:style>
  <w:style w:type="paragraph" w:customStyle="1" w:styleId="StatementLevel1">
    <w:name w:val="Statement Level 1"/>
    <w:basedOn w:val="ChecklistBasis"/>
    <w:link w:val="StatementLevel1Char"/>
  </w:style>
  <w:style w:type="paragraph" w:customStyle="1" w:styleId="StatementLevel2">
    <w:name w:val="Statement Level 2"/>
    <w:basedOn w:val="StatementLevel1"/>
    <w:pPr>
      <w:ind w:left="252"/>
    </w:pPr>
  </w:style>
  <w:style w:type="paragraph" w:customStyle="1" w:styleId="Yes-No">
    <w:name w:val="Yes-No"/>
    <w:basedOn w:val="StatementLevel1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link w:val="StatementLevel1"/>
    <w:rPr>
      <w:rFonts w:ascii="Arial Narrow" w:hAnsi="Arial Narrow"/>
      <w:szCs w:val="24"/>
      <w:lang w:val="en-US" w:eastAsia="en-US" w:bidi="ar-SA"/>
    </w:rPr>
  </w:style>
  <w:style w:type="paragraph" w:customStyle="1" w:styleId="StatementLevel1Hanging">
    <w:name w:val="Statement Level 1 Hanging"/>
    <w:basedOn w:val="StatementLevel1"/>
    <w:pPr>
      <w:ind w:left="288" w:hanging="288"/>
    </w:pPr>
  </w:style>
  <w:style w:type="character" w:customStyle="1" w:styleId="ChecklistBasisChar">
    <w:name w:val="Checklist Basis Char"/>
    <w:link w:val="ChecklistBasis"/>
    <w:rPr>
      <w:rFonts w:ascii="Arial Narrow" w:hAnsi="Arial Narrow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semiHidden/>
    <w:rPr>
      <w:vertAlign w:val="superscript"/>
    </w:rPr>
  </w:style>
  <w:style w:type="numbering" w:customStyle="1" w:styleId="BulletLevel1">
    <w:name w:val="Bullet Level 1"/>
    <w:basedOn w:val="NoList"/>
    <w:pPr>
      <w:numPr>
        <w:numId w:val="17"/>
      </w:numPr>
    </w:pPr>
  </w:style>
  <w:style w:type="paragraph" w:customStyle="1" w:styleId="Basis1">
    <w:name w:val="Basis 1"/>
    <w:basedOn w:val="Normal"/>
    <w:link w:val="Basis1Char"/>
    <w:pPr>
      <w:numPr>
        <w:numId w:val="17"/>
      </w:numPr>
    </w:pPr>
  </w:style>
  <w:style w:type="paragraph" w:customStyle="1" w:styleId="Basis2">
    <w:name w:val="Basis 2"/>
    <w:basedOn w:val="Basis1"/>
    <w:link w:val="Basis2Char"/>
    <w:pPr>
      <w:numPr>
        <w:ilvl w:val="1"/>
      </w:numPr>
      <w:tabs>
        <w:tab w:val="clear" w:pos="720"/>
        <w:tab w:val="num" w:pos="360"/>
      </w:tabs>
      <w:ind w:left="360"/>
    </w:pPr>
  </w:style>
  <w:style w:type="paragraph" w:customStyle="1" w:styleId="Basis3">
    <w:name w:val="Basis 3"/>
    <w:basedOn w:val="Basis2"/>
    <w:pPr>
      <w:numPr>
        <w:ilvl w:val="2"/>
      </w:numPr>
      <w:tabs>
        <w:tab w:val="clear" w:pos="1080"/>
        <w:tab w:val="num" w:pos="360"/>
      </w:tabs>
      <w:ind w:left="360"/>
    </w:pPr>
  </w:style>
  <w:style w:type="character" w:customStyle="1" w:styleId="Basis1Char">
    <w:name w:val="Basis 1 Char"/>
    <w:link w:val="Basis1"/>
    <w:rPr>
      <w:sz w:val="24"/>
      <w:szCs w:val="24"/>
    </w:rPr>
  </w:style>
  <w:style w:type="character" w:customStyle="1" w:styleId="Basis2Char">
    <w:name w:val="Basis 2 Char"/>
    <w:basedOn w:val="Basis1Char"/>
    <w:link w:val="Basis2"/>
    <w:rPr>
      <w:sz w:val="24"/>
      <w:szCs w:val="24"/>
    </w:rPr>
  </w:style>
  <w:style w:type="paragraph" w:customStyle="1" w:styleId="Basis4">
    <w:name w:val="Basis 4"/>
    <w:basedOn w:val="Basis3"/>
    <w:pPr>
      <w:numPr>
        <w:ilvl w:val="3"/>
      </w:numPr>
      <w:tabs>
        <w:tab w:val="clear" w:pos="1440"/>
        <w:tab w:val="num" w:pos="360"/>
      </w:tabs>
      <w:ind w:left="360"/>
    </w:pPr>
  </w:style>
  <w:style w:type="paragraph" w:customStyle="1" w:styleId="Basis5">
    <w:name w:val="Basis 5"/>
    <w:basedOn w:val="Basis4"/>
    <w:pPr>
      <w:numPr>
        <w:ilvl w:val="4"/>
      </w:numPr>
      <w:tabs>
        <w:tab w:val="clear" w:pos="1800"/>
        <w:tab w:val="num" w:pos="360"/>
      </w:tabs>
      <w:ind w:left="36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OPFooter">
    <w:name w:val="SOP Footer"/>
    <w:basedOn w:val="Normal"/>
    <w:pPr>
      <w:jc w:val="center"/>
    </w:pPr>
    <w:rPr>
      <w:rFonts w:ascii="Arial" w:hAnsi="Arial" w:cs="Tahoma"/>
      <w:sz w:val="16"/>
      <w:szCs w:val="20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customStyle="1" w:styleId="SOPLeader">
    <w:name w:val="SOP Leader"/>
    <w:rPr>
      <w:rFonts w:ascii="Calibri" w:hAnsi="Calibri"/>
      <w:b/>
      <w:sz w:val="24"/>
    </w:rPr>
  </w:style>
  <w:style w:type="paragraph" w:customStyle="1" w:styleId="SOPName">
    <w:name w:val="SOP Name"/>
    <w:basedOn w:val="Normal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Pr>
      <w:sz w:val="18"/>
    </w:rPr>
  </w:style>
  <w:style w:type="paragraph" w:styleId="ListParagraph">
    <w:name w:val="List Paragraph"/>
    <w:basedOn w:val="Normal"/>
    <w:uiPriority w:val="34"/>
    <w:qFormat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UnresolvedMention">
    <w:name w:val="Unresolved Mention"/>
    <w:basedOn w:val="DefaultParagraphFont"/>
    <w:uiPriority w:val="99"/>
    <w:unhideWhenUsed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1DFDD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3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numbering" Target="numbering.xml"/><Relationship Id="rId39" Type="http://schemas.openxmlformats.org/officeDocument/2006/relationships/theme" Target="theme/theme1.xml"/><Relationship Id="rId21" Type="http://schemas.openxmlformats.org/officeDocument/2006/relationships/customXml" Target="../customXml/item21.xml"/><Relationship Id="rId34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customXml" Target="../customXml/item20.xml"/><Relationship Id="rId29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settings" Target="settings.xml"/><Relationship Id="rId36" Type="http://schemas.openxmlformats.org/officeDocument/2006/relationships/header" Target="header3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styles" Target="styles.xml"/><Relationship Id="rId30" Type="http://schemas.openxmlformats.org/officeDocument/2006/relationships/footnotes" Target="footnotes.xml"/><Relationship Id="rId35" Type="http://schemas.openxmlformats.org/officeDocument/2006/relationships/footer" Target="footer2.xml"/><Relationship Id="rId8" Type="http://schemas.openxmlformats.org/officeDocument/2006/relationships/customXml" Target="../customXml/item8.xml"/><Relationship Id="rId3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VariableListDefinition name="AD_HOC" displayName="AD_HOC" id="61757de5-f622-422c-9cb1-cb83c160d98a" isdomainofvalue="False" dataSourceId="48468cfe-2f26-487a-933c-3185ea5bb335"/>
</file>

<file path=customXml/item10.xml><?xml version="1.0" encoding="utf-8"?>
<DataSourceInfo>
  <Id>48468cfe-2f26-487a-933c-3185ea5bb335</Id>
  <MajorVersion>0</MajorVersion>
  <MinorVersion>1</MinorVersion>
  <DataSourceType>Ad_Hoc</DataSourceType>
  <Name>AD_HOC</Name>
  <Description/>
  <Filter/>
  <DataFields/>
</DataSourceInfo>
</file>

<file path=customXml/item1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2.xml><?xml version="1.0" encoding="utf-8"?>
<VariableList UniqueId="61757de5-f622-422c-9cb1-cb83c160d98a" Name="AD_HOC" ContentType="XML" MajorVersion="0" MinorVersion="1" isLocalCopy="False" IsBaseObject="False" DataSourceId="48468cfe-2f26-487a-933c-3185ea5bb335" DataSourceMajorVersion="0" DataSourceMinorVersion="1"/>
</file>

<file path=customXml/item13.xml><?xml version="1.0" encoding="utf-8"?>
<DataSourceInfo>
  <Id>402a2aa0-9769-4465-86fb-9cc7b4d9baca</Id>
  <MajorVersion>0</MajorVersion>
  <MinorVersion>1</MinorVersion>
  <DataSourceType>Expression</DataSourceType>
  <Name>Computed</Name>
  <Description/>
  <Filter/>
  <DataFields/>
</DataSourceInfo>
</file>

<file path=customXml/item14.xml><?xml version="1.0" encoding="utf-8"?>
<VariableUsageMapping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VariableListCustXmlRels>
  <VariableListCustXmlRel variableListName="AD_HOC">
    <VariableListDefCustXmlId>{7F62965C-BC85-4849-B94D-B5E9486A6F4B}</VariableListDefCustXmlId>
    <LibraryMetadataCustXmlId>{DF58CB9F-ECFD-48E0-9BBD-51EA00536236}</LibraryMetadataCustXmlId>
    <DataSourceInfoCustXmlId>{4B355E34-983A-4141-869E-173AD66F804C}</DataSourceInfoCustXmlId>
    <DataSourceMappingCustXmlId>{89333E9C-57ED-4E6D-9147-F35689341DC2}</DataSourceMappingCustXmlId>
    <SdmcCustXmlId>{A0ACAB80-534C-4BB6-84DA-B214066F0614}</SdmcCustXmlId>
  </VariableListCustXmlRel>
  <VariableListCustXmlRel variableListName="Computed">
    <VariableListDefCustXmlId>{A716CD9A-E4FA-4F23-BAD8-DFFCBDFFD28C}</VariableListDefCustXmlId>
    <LibraryMetadataCustXmlId>{7A33A03E-FDC1-44EE-9643-4A8B7E8FA77E}</LibraryMetadataCustXmlId>
    <DataSourceInfoCustXmlId>{272D053D-D112-46CD-9141-4D5DB064F2F3}</DataSourceInfoCustXmlId>
    <DataSourceMappingCustXmlId>{8BC6560C-1FE9-486F-818A-3334AA7DEE8A}</DataSourceMappingCustXmlId>
    <SdmcCustXmlId>{D91649C0-AD30-411D-AE8B-A93B0356D831}</SdmcCustXmlId>
  </VariableListCustXmlRel>
  <VariableListCustXmlRel variableListName="System">
    <VariableListDefCustXmlId>{B64EB99D-0F80-41C6-AB31-9B7D9B08FD0D}</VariableListDefCustXmlId>
    <LibraryMetadataCustXmlId>{0F5FC98E-CB82-4A0B-B167-8FCED41BBCAD}</LibraryMetadataCustXmlId>
    <DataSourceInfoCustXmlId>{2CF665D0-96BE-4927-92CD-512C4D12A1DE}</DataSourceInfoCustXmlId>
    <DataSourceMappingCustXmlId>{9B9F606F-8E4E-4B23-8CC6-4F41ADB489E3}</DataSourceMappingCustXmlId>
    <SdmcCustXmlId>{9FC96A83-B36A-4C38-9D95-11698B02F8D7}</SdmcCustXmlId>
  </VariableListCustXmlRel>
</VariableListCustXmlRels>
</file>

<file path=customXml/item17.xml><?xml version="1.0" encoding="utf-8"?>
<VariableList UniqueId="4ab2d541-b4d1-44dd-bc28-cfdd0e868b25" Name="System" ContentType="XML" MajorVersion="0" MinorVersion="1" isLocalCopy="False" IsBaseObject="False" DataSourceId="6e256c75-a18f-4a0d-896a-367050113b46" DataSourceMajorVersion="0" DataSourceMinorVersion="1"/>
</file>

<file path=customXml/item18.xml><?xml version="1.0" encoding="utf-8"?>
<AllWordPDs>
</AllWordPDs>
</file>

<file path=customXml/item19.xml><?xml version="1.0" encoding="utf-8"?>
<SourceDataModel Name="AD_HOC" TargetDataSourceId="48468cfe-2f26-487a-933c-3185ea5bb335"/>
</file>

<file path=customXml/item2.xml><?xml version="1.0" encoding="utf-8"?>
<DataSourceInfo>
  <Id>6e256c75-a18f-4a0d-896a-367050113b46</Id>
  <MajorVersion>0</MajorVersion>
  <MinorVersion>1</MinorVersion>
  <DataSourceType>System</DataSourceType>
  <Name>System</Name>
  <Description/>
  <Filter/>
  <DataFields/>
</DataSourceInfo>
</file>

<file path=customXml/item20.xml><?xml version="1.0" encoding="utf-8"?>
<DataSourceMapping>
  <Id>a41cdba5-4940-42c8-9b68-c001cdb1ecb2</Id>
  <Name>EXPRESSION_VARIABLE_MAPPING</Name>
  <TargetDataSource>402a2aa0-9769-4465-86fb-9cc7b4d9baca</TargetDataSource>
  <SourceType>XML File</SourceType>
  <IsReadOnly>false</IsReadOnly>
  <SalesforceOrganizationId>00000000-0000-0000-0000-000000000000</SalesforceOrganizationId>
  <SalesforceOrganizationName/>
  <SalesforceApiVersion/>
  <Properties/>
  <RawMappings/>
  <DesignTimeProperties/>
</DataSourceMapping>
</file>

<file path=customXml/item21.xml><?xml version="1.0" encoding="utf-8"?>
<SourceDataModel Name="System" TargetDataSourceId="6e256c75-a18f-4a0d-896a-367050113b46"/>
</file>

<file path=customXml/item22.xml><?xml version="1.0" encoding="utf-8"?>
<SourceDataModel Name="Computed" TargetDataSourceId="402a2aa0-9769-4465-86fb-9cc7b4d9baca"/>
</file>

<file path=customXml/item23.xml><?xml version="1.0" encoding="utf-8"?>
<DataSourceMapping>
  <Id>66578f9d-8e11-47a6-b7e3-2d04b0e5940e</Id>
  <Name>AD_HOC_MAPPING</Name>
  <TargetDataSource>48468cfe-2f26-487a-933c-3185ea5bb335</TargetDataSource>
  <SourceType>XML File</SourceType>
  <IsReadOnly>false</IsReadOnly>
  <SalesforceOrganizationId>00000000-0000-0000-0000-000000000000</SalesforceOrganizationId>
  <SalesforceOrganizationName/>
  <SalesforceApiVersion/>
  <Properties>
    <Property Name="RecordSeperator" Value="SampleData/DataRecord"/>
  </Properties>
  <RawMappings/>
  <DesignTimeProperties/>
</DataSourceMapping>
</file>

<file path=customXml/item2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5.xml><?xml version="1.0" encoding="utf-8"?>
<DocPartTree/>
</file>

<file path=customXml/item3.xml><?xml version="1.0" encoding="utf-8"?>
<AllMetadata/>
</file>

<file path=customXml/item4.xml><?xml version="1.0" encoding="utf-8"?>
<VariableList UniqueId="f64779a9-d079-4681-8907-62675b1bac11" Name="Computed" ContentType="XML" MajorVersion="0" MinorVersion="1" isLocalCopy="False" IsBaseObject="False" DataSourceId="402a2aa0-9769-4465-86fb-9cc7b4d9baca" DataSourceMajorVersion="0" DataSourceMinorVersion="1"/>
</file>

<file path=customXml/item5.xml><?xml version="1.0" encoding="utf-8"?>
<VariableListDefinition name="System" displayName="System" id="4ab2d541-b4d1-44dd-bc28-cfdd0e868b25" isdomainofvalue="False" dataSourceId="6e256c75-a18f-4a0d-896a-367050113b4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1B88E5CE9A347A512BDF0216DC759" ma:contentTypeVersion="10" ma:contentTypeDescription="Create a new document." ma:contentTypeScope="" ma:versionID="ede2e840551ffbb291668250e2d9dc86">
  <xsd:schema xmlns:xsd="http://www.w3.org/2001/XMLSchema" xmlns:xs="http://www.w3.org/2001/XMLSchema" xmlns:p="http://schemas.microsoft.com/office/2006/metadata/properties" xmlns:ns2="cde09f36-79a3-41d6-bf0c-326b2c3be749" xmlns:ns3="2f2dc435-e672-468d-8232-f0167d80fec8" targetNamespace="http://schemas.microsoft.com/office/2006/metadata/properties" ma:root="true" ma:fieldsID="237837028ca031468566f29f7b452386" ns2:_="" ns3:_="">
    <xsd:import namespace="cde09f36-79a3-41d6-bf0c-326b2c3be749"/>
    <xsd:import namespace="2f2dc435-e672-468d-8232-f0167d80f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9f36-79a3-41d6-bf0c-326b2c3be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c435-e672-468d-8232-f0167d80f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AllExternalAdhocVariableMappings/>
</file>

<file path=customXml/item8.xml><?xml version="1.0" encoding="utf-8"?>
<DataSourceMapping>
  <Id>59d85ab3-b02a-46ce-a758-19bdc4c6338f</Id>
  <Name>EXPRESSION_VARIABLE_MAPPING</Name>
  <TargetDataSource>6e256c75-a18f-4a0d-896a-367050113b46</TargetDataSource>
  <SourceType>XML File</SourceType>
  <IsReadOnly>false</IsReadOnly>
  <SalesforceOrganizationId>00000000-0000-0000-0000-000000000000</SalesforceOrganizationId>
  <SalesforceOrganizationName/>
  <SalesforceApiVersion/>
  <Properties/>
  <RawMappings/>
  <DesignTimeProperties/>
</DataSourceMapping>
</file>

<file path=customXml/item9.xml><?xml version="1.0" encoding="utf-8"?>
<VariableListDefinition name="Computed" displayName="Computed" id="f64779a9-d079-4681-8907-62675b1bac11" isdomainofvalue="False" dataSourceId="402a2aa0-9769-4465-86fb-9cc7b4d9baca"/>
</file>

<file path=customXml/itemProps1.xml><?xml version="1.0" encoding="utf-8"?>
<ds:datastoreItem xmlns:ds="http://schemas.openxmlformats.org/officeDocument/2006/customXml" ds:itemID="{7F62965C-BC85-4849-B94D-B5E9486A6F4B}">
  <ds:schemaRefs/>
</ds:datastoreItem>
</file>

<file path=customXml/itemProps10.xml><?xml version="1.0" encoding="utf-8"?>
<ds:datastoreItem xmlns:ds="http://schemas.openxmlformats.org/officeDocument/2006/customXml" ds:itemID="{4B355E34-983A-4141-869E-173AD66F804C}">
  <ds:schemaRefs/>
</ds:datastoreItem>
</file>

<file path=customXml/itemProps11.xml><?xml version="1.0" encoding="utf-8"?>
<ds:datastoreItem xmlns:ds="http://schemas.openxmlformats.org/officeDocument/2006/customXml" ds:itemID="{0C66AE69-1EA9-4636-88B1-8E18ACA85001}">
  <ds:schemaRefs>
    <ds:schemaRef ds:uri="http://schemas.microsoft.com/sharepoint/v3/contenttype/forms"/>
  </ds:schemaRefs>
</ds:datastoreItem>
</file>

<file path=customXml/itemProps12.xml><?xml version="1.0" encoding="utf-8"?>
<ds:datastoreItem xmlns:ds="http://schemas.openxmlformats.org/officeDocument/2006/customXml" ds:itemID="{DF58CB9F-ECFD-48E0-9BBD-51EA00536236}">
  <ds:schemaRefs/>
</ds:datastoreItem>
</file>

<file path=customXml/itemProps13.xml><?xml version="1.0" encoding="utf-8"?>
<ds:datastoreItem xmlns:ds="http://schemas.openxmlformats.org/officeDocument/2006/customXml" ds:itemID="{272D053D-D112-46CD-9141-4D5DB064F2F3}">
  <ds:schemaRefs/>
</ds:datastoreItem>
</file>

<file path=customXml/itemProps14.xml><?xml version="1.0" encoding="utf-8"?>
<ds:datastoreItem xmlns:ds="http://schemas.openxmlformats.org/officeDocument/2006/customXml" ds:itemID="{8B65DCD3-C0A6-41B1-82F3-A129FF3AE33A}">
  <ds:schemaRefs/>
</ds:datastoreItem>
</file>

<file path=customXml/itemProps15.xml><?xml version="1.0" encoding="utf-8"?>
<ds:datastoreItem xmlns:ds="http://schemas.openxmlformats.org/officeDocument/2006/customXml" ds:itemID="{E5EA5C58-4674-477B-B67F-EF98ACCED152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7462E582-FC8E-4E6E-B09D-3BEF015CC7E1}">
  <ds:schemaRefs/>
</ds:datastoreItem>
</file>

<file path=customXml/itemProps17.xml><?xml version="1.0" encoding="utf-8"?>
<ds:datastoreItem xmlns:ds="http://schemas.openxmlformats.org/officeDocument/2006/customXml" ds:itemID="{0F5FC98E-CB82-4A0B-B167-8FCED41BBCAD}">
  <ds:schemaRefs/>
</ds:datastoreItem>
</file>

<file path=customXml/itemProps18.xml><?xml version="1.0" encoding="utf-8"?>
<ds:datastoreItem xmlns:ds="http://schemas.openxmlformats.org/officeDocument/2006/customXml" ds:itemID="{83375751-C893-4B38-ABB0-8B3C520AE9E6}">
  <ds:schemaRefs/>
</ds:datastoreItem>
</file>

<file path=customXml/itemProps19.xml><?xml version="1.0" encoding="utf-8"?>
<ds:datastoreItem xmlns:ds="http://schemas.openxmlformats.org/officeDocument/2006/customXml" ds:itemID="{A0ACAB80-534C-4BB6-84DA-B214066F0614}">
  <ds:schemaRefs/>
</ds:datastoreItem>
</file>

<file path=customXml/itemProps2.xml><?xml version="1.0" encoding="utf-8"?>
<ds:datastoreItem xmlns:ds="http://schemas.openxmlformats.org/officeDocument/2006/customXml" ds:itemID="{2CF665D0-96BE-4927-92CD-512C4D12A1DE}">
  <ds:schemaRefs/>
</ds:datastoreItem>
</file>

<file path=customXml/itemProps20.xml><?xml version="1.0" encoding="utf-8"?>
<ds:datastoreItem xmlns:ds="http://schemas.openxmlformats.org/officeDocument/2006/customXml" ds:itemID="{8BC6560C-1FE9-486F-818A-3334AA7DEE8A}">
  <ds:schemaRefs/>
</ds:datastoreItem>
</file>

<file path=customXml/itemProps21.xml><?xml version="1.0" encoding="utf-8"?>
<ds:datastoreItem xmlns:ds="http://schemas.openxmlformats.org/officeDocument/2006/customXml" ds:itemID="{9FC96A83-B36A-4C38-9D95-11698B02F8D7}">
  <ds:schemaRefs/>
</ds:datastoreItem>
</file>

<file path=customXml/itemProps22.xml><?xml version="1.0" encoding="utf-8"?>
<ds:datastoreItem xmlns:ds="http://schemas.openxmlformats.org/officeDocument/2006/customXml" ds:itemID="{D91649C0-AD30-411D-AE8B-A93B0356D831}">
  <ds:schemaRefs/>
</ds:datastoreItem>
</file>

<file path=customXml/itemProps23.xml><?xml version="1.0" encoding="utf-8"?>
<ds:datastoreItem xmlns:ds="http://schemas.openxmlformats.org/officeDocument/2006/customXml" ds:itemID="{89333E9C-57ED-4E6D-9147-F35689341DC2}">
  <ds:schemaRefs/>
</ds:datastoreItem>
</file>

<file path=customXml/itemProps24.xml><?xml version="1.0" encoding="utf-8"?>
<ds:datastoreItem xmlns:ds="http://schemas.openxmlformats.org/officeDocument/2006/customXml" ds:itemID="{06A400AE-0F3E-4CD0-96D6-47ABBBFACC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5.xml><?xml version="1.0" encoding="utf-8"?>
<ds:datastoreItem xmlns:ds="http://schemas.openxmlformats.org/officeDocument/2006/customXml" ds:itemID="{2228148E-F1F0-4F62-8454-E72D591BE091}">
  <ds:schemaRefs/>
</ds:datastoreItem>
</file>

<file path=customXml/itemProps3.xml><?xml version="1.0" encoding="utf-8"?>
<ds:datastoreItem xmlns:ds="http://schemas.openxmlformats.org/officeDocument/2006/customXml" ds:itemID="{95F4AD10-B102-48F5-A64E-170AD9CD16BC}">
  <ds:schemaRefs/>
</ds:datastoreItem>
</file>

<file path=customXml/itemProps4.xml><?xml version="1.0" encoding="utf-8"?>
<ds:datastoreItem xmlns:ds="http://schemas.openxmlformats.org/officeDocument/2006/customXml" ds:itemID="{7A33A03E-FDC1-44EE-9643-4A8B7E8FA77E}">
  <ds:schemaRefs/>
</ds:datastoreItem>
</file>

<file path=customXml/itemProps5.xml><?xml version="1.0" encoding="utf-8"?>
<ds:datastoreItem xmlns:ds="http://schemas.openxmlformats.org/officeDocument/2006/customXml" ds:itemID="{B64EB99D-0F80-41C6-AB31-9B7D9B08FD0D}">
  <ds:schemaRefs/>
</ds:datastoreItem>
</file>

<file path=customXml/itemProps6.xml><?xml version="1.0" encoding="utf-8"?>
<ds:datastoreItem xmlns:ds="http://schemas.openxmlformats.org/officeDocument/2006/customXml" ds:itemID="{E615E8F5-3B77-4E89-93B5-D4FC6A2A5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09f36-79a3-41d6-bf0c-326b2c3be749"/>
    <ds:schemaRef ds:uri="2f2dc435-e672-468d-8232-f0167d80f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70964F50-B7FC-4C8B-8B33-6F3314C4015D}">
  <ds:schemaRefs/>
</ds:datastoreItem>
</file>

<file path=customXml/itemProps8.xml><?xml version="1.0" encoding="utf-8"?>
<ds:datastoreItem xmlns:ds="http://schemas.openxmlformats.org/officeDocument/2006/customXml" ds:itemID="{9B9F606F-8E4E-4B23-8CC6-4F41ADB489E3}">
  <ds:schemaRefs/>
</ds:datastoreItem>
</file>

<file path=customXml/itemProps9.xml><?xml version="1.0" encoding="utf-8"?>
<ds:datastoreItem xmlns:ds="http://schemas.openxmlformats.org/officeDocument/2006/customXml" ds:itemID="{A716CD9A-E4FA-4F23-BAD8-DFFCBDFFD28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© 2020 Huron Consulting Group Inc. and affiliates.</dc:description>
  <cp:lastModifiedBy/>
  <cp:revision>1</cp:revision>
  <dcterms:created xsi:type="dcterms:W3CDTF">2023-02-24T16:06:00Z</dcterms:created>
  <dcterms:modified xsi:type="dcterms:W3CDTF">2023-02-24T16:06:00Z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0x010100AA11B88E5CE9A347A512BDF0216DC759</vt:lpwstr>
  </property>
</Properties>
</file>