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965"/>
        <w:gridCol w:w="492"/>
        <w:gridCol w:w="5067"/>
      </w:tblGrid>
      <w:tr w:rsidR="00232213" w14:paraId="70A9F33F" w14:textId="77777777" w:rsidTr="006D770A">
        <w:trPr>
          <w:cantSplit/>
        </w:trPr>
        <w:tc>
          <w:tcPr>
            <w:tcW w:w="11016" w:type="dxa"/>
            <w:gridSpan w:val="4"/>
          </w:tcPr>
          <w:p w14:paraId="6488D6EB" w14:textId="70EC5060" w:rsidR="00232213" w:rsidRDefault="00232213" w:rsidP="00C21E3E">
            <w:pPr>
              <w:pStyle w:val="ChecklistBasis"/>
            </w:pPr>
            <w:r>
              <w:t xml:space="preserve">The purpose of this </w:t>
            </w:r>
            <w:r w:rsidR="006D56D3">
              <w:t>worksheet</w:t>
            </w:r>
            <w:r>
              <w:t xml:space="preserve"> is to provide support for the </w:t>
            </w:r>
            <w:r w:rsidR="00C21E3E">
              <w:t xml:space="preserve">convened </w:t>
            </w:r>
            <w:r>
              <w:t xml:space="preserve">IRB reviewing </w:t>
            </w:r>
            <w:r w:rsidR="00C21E3E" w:rsidRPr="00C21E3E">
              <w:rPr>
                <w:u w:val="double"/>
              </w:rPr>
              <w:t>Serious Non-Compliance</w:t>
            </w:r>
            <w:r w:rsidR="00C21E3E">
              <w:t xml:space="preserve">, </w:t>
            </w:r>
            <w:r w:rsidR="00C21E3E" w:rsidRPr="00C21E3E">
              <w:rPr>
                <w:u w:val="double"/>
              </w:rPr>
              <w:t>Continuing Non-Compliance</w:t>
            </w:r>
            <w:r w:rsidR="00C21E3E">
              <w:t xml:space="preserve">, </w:t>
            </w:r>
            <w:r w:rsidR="00C21E3E" w:rsidRPr="00C21E3E">
              <w:rPr>
                <w:u w:val="double"/>
              </w:rPr>
              <w:t>Unanticipated Problem Involving Risks to Subjects or Others</w:t>
            </w:r>
            <w:r w:rsidR="00C21E3E">
              <w:t xml:space="preserve">, </w:t>
            </w:r>
            <w:r w:rsidR="00C21E3E" w:rsidRPr="00C21E3E">
              <w:rPr>
                <w:u w:val="double"/>
              </w:rPr>
              <w:t>Suspension of IRB Approval</w:t>
            </w:r>
            <w:r w:rsidR="00C21E3E">
              <w:t xml:space="preserve">, and </w:t>
            </w:r>
            <w:r w:rsidR="00C21E3E" w:rsidRPr="00C21E3E">
              <w:rPr>
                <w:u w:val="double"/>
              </w:rPr>
              <w:t>Termination of IRB Approval</w:t>
            </w:r>
            <w:r>
              <w:t xml:space="preserve">. </w:t>
            </w:r>
            <w:r w:rsidR="00421BE3">
              <w:t xml:space="preserve">This worksheet is to be used. </w:t>
            </w:r>
            <w:r>
              <w:t xml:space="preserve">This </w:t>
            </w:r>
            <w:r w:rsidR="006D56D3">
              <w:t>worksheet</w:t>
            </w:r>
            <w:r>
              <w:t xml:space="preserve"> does not need to be completed or retained.</w:t>
            </w:r>
            <w:r w:rsidR="00E97ABE">
              <w:rPr>
                <w:rStyle w:val="FootnoteReference"/>
              </w:rPr>
              <w:footnoteReference w:id="1"/>
            </w:r>
          </w:p>
        </w:tc>
      </w:tr>
      <w:tr w:rsidR="00421BE3" w:rsidRPr="00421BE3" w14:paraId="02BA11C3" w14:textId="77777777" w:rsidTr="006D770A">
        <w:trPr>
          <w:trHeight w:hRule="exact" w:val="72"/>
        </w:trPr>
        <w:tc>
          <w:tcPr>
            <w:tcW w:w="11016" w:type="dxa"/>
            <w:gridSpan w:val="4"/>
            <w:shd w:val="clear" w:color="auto" w:fill="000000"/>
          </w:tcPr>
          <w:p w14:paraId="42E5BE15" w14:textId="77777777" w:rsidR="00421BE3" w:rsidRPr="00421BE3" w:rsidRDefault="00421BE3" w:rsidP="002F31D3"/>
        </w:tc>
      </w:tr>
      <w:tr w:rsidR="00076A61" w:rsidRPr="00985DEF" w14:paraId="61904629" w14:textId="77777777" w:rsidTr="006D770A">
        <w:tc>
          <w:tcPr>
            <w:tcW w:w="11016" w:type="dxa"/>
            <w:gridSpan w:val="4"/>
          </w:tcPr>
          <w:p w14:paraId="3748090F" w14:textId="77777777" w:rsidR="00076A61" w:rsidRDefault="00421BE3" w:rsidP="00076A61">
            <w:pPr>
              <w:pStyle w:val="ChecklistLevel1"/>
            </w:pPr>
            <w:r>
              <w:t>Considerations</w:t>
            </w:r>
          </w:p>
        </w:tc>
      </w:tr>
      <w:tr w:rsidR="00510E64" w:rsidRPr="00985DEF" w14:paraId="545C89B3" w14:textId="77777777" w:rsidTr="006D770A">
        <w:sdt>
          <w:sdtPr>
            <w:id w:val="171198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76E08F33" w14:textId="77777777" w:rsidR="00510E64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5" w:type="dxa"/>
            <w:shd w:val="clear" w:color="auto" w:fill="auto"/>
          </w:tcPr>
          <w:p w14:paraId="1083EBBA" w14:textId="77777777" w:rsidR="00510E64" w:rsidRDefault="00510E64" w:rsidP="00583D59">
            <w:pPr>
              <w:pStyle w:val="StatementLevel1"/>
            </w:pPr>
            <w:r>
              <w:t>Modify the protocol.</w:t>
            </w:r>
          </w:p>
          <w:p w14:paraId="29D6B5EC" w14:textId="77777777" w:rsidR="00E25FFE" w:rsidRDefault="00E25FFE" w:rsidP="00E25FFE">
            <w:pPr>
              <w:pStyle w:val="StatementLevel1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060C">
              <w:fldChar w:fldCharType="separate"/>
            </w:r>
            <w:r>
              <w:fldChar w:fldCharType="end"/>
            </w:r>
            <w:r>
              <w:t xml:space="preserve"> Require additional follow-up with subjects</w:t>
            </w:r>
          </w:p>
          <w:p w14:paraId="2D0DE82A" w14:textId="77777777" w:rsidR="00E25FFE" w:rsidRDefault="00E25FFE" w:rsidP="00E25FFE">
            <w:pPr>
              <w:pStyle w:val="StatementLevel1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060C">
              <w:fldChar w:fldCharType="separate"/>
            </w:r>
            <w:r>
              <w:fldChar w:fldCharType="end"/>
            </w:r>
            <w:r>
              <w:t xml:space="preserve"> Modify eligibility criteria</w:t>
            </w:r>
          </w:p>
          <w:p w14:paraId="09906D66" w14:textId="77777777" w:rsidR="00E25FFE" w:rsidRDefault="00E25FFE" w:rsidP="00E25FFE">
            <w:pPr>
              <w:pStyle w:val="StatementLevel1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060C">
              <w:fldChar w:fldCharType="separate"/>
            </w:r>
            <w:r>
              <w:fldChar w:fldCharType="end"/>
            </w:r>
            <w:r>
              <w:t xml:space="preserve"> Discontinue a treatment arm</w:t>
            </w:r>
          </w:p>
          <w:p w14:paraId="1FE27E7B" w14:textId="04C1A93E" w:rsidR="00E25FFE" w:rsidRPr="00985DEF" w:rsidRDefault="00E25FFE" w:rsidP="00E25FFE">
            <w:pPr>
              <w:pStyle w:val="StatementLevel1"/>
              <w:rPr>
                <w:u w:val="doub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060C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  <w:sdt>
          <w:sdtPr>
            <w:rPr>
              <w:b/>
              <w:bCs/>
            </w:rPr>
            <w:id w:val="-142448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4F1AFE56" w14:textId="77777777" w:rsidR="00510E64" w:rsidRPr="00AF1EED" w:rsidRDefault="00E20B61" w:rsidP="00583D59">
                <w:pPr>
                  <w:pStyle w:val="StatementLevel1"/>
                  <w:rPr>
                    <w:b/>
                    <w:bCs/>
                  </w:rPr>
                </w:pPr>
                <w:r w:rsidRPr="00AF1EE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67" w:type="dxa"/>
            <w:shd w:val="clear" w:color="auto" w:fill="auto"/>
          </w:tcPr>
          <w:p w14:paraId="69C65CC6" w14:textId="77777777" w:rsidR="00510E64" w:rsidRDefault="00510E64" w:rsidP="00583D59">
            <w:pPr>
              <w:pStyle w:val="StatementLevel1"/>
            </w:pPr>
            <w:r>
              <w:t>Terminate IRB approval</w:t>
            </w:r>
            <w:r w:rsidR="00D14E10">
              <w:t>.</w:t>
            </w:r>
          </w:p>
          <w:p w14:paraId="19E44B46" w14:textId="2295AD75" w:rsidR="00E25FFE" w:rsidRDefault="00E25FFE" w:rsidP="00D40A10">
            <w:pPr>
              <w:pStyle w:val="StatementLevel1"/>
            </w:pPr>
          </w:p>
          <w:p w14:paraId="599C1849" w14:textId="21CD45F0" w:rsidR="002B420E" w:rsidRPr="00985DEF" w:rsidRDefault="002B420E" w:rsidP="00D40A10">
            <w:pPr>
              <w:pStyle w:val="StatementLevel1"/>
              <w:rPr>
                <w:u w:val="double"/>
              </w:rPr>
            </w:pPr>
            <w:r w:rsidRPr="00D174E4">
              <w:rPr>
                <w:i/>
              </w:rPr>
              <w:t>Consider whether such suspension</w:t>
            </w:r>
            <w:r>
              <w:rPr>
                <w:i/>
              </w:rPr>
              <w:t xml:space="preserve"> could </w:t>
            </w:r>
            <w:r w:rsidRPr="00D174E4">
              <w:rPr>
                <w:i/>
              </w:rPr>
              <w:t xml:space="preserve">result in harm to currently enrolled subjects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fldChar w:fldCharType="end"/>
            </w:r>
          </w:p>
        </w:tc>
      </w:tr>
      <w:tr w:rsidR="00510E64" w:rsidRPr="00985DEF" w14:paraId="02B03AE7" w14:textId="77777777" w:rsidTr="006D770A">
        <w:sdt>
          <w:sdtPr>
            <w:id w:val="-131540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7D1B886B" w14:textId="77777777" w:rsidR="00510E64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5" w:type="dxa"/>
            <w:shd w:val="clear" w:color="auto" w:fill="auto"/>
          </w:tcPr>
          <w:p w14:paraId="244D5C65" w14:textId="77777777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>Modify the information disclosed during the consent process.</w:t>
            </w:r>
          </w:p>
        </w:tc>
        <w:sdt>
          <w:sdtPr>
            <w:rPr>
              <w:b/>
              <w:bCs/>
            </w:rPr>
            <w:id w:val="-171187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46DE5B58" w14:textId="77777777" w:rsidR="00510E64" w:rsidRPr="00AF1EED" w:rsidRDefault="00E20B61" w:rsidP="00583D59">
                <w:pPr>
                  <w:pStyle w:val="StatementLevel1"/>
                  <w:rPr>
                    <w:b/>
                    <w:bCs/>
                  </w:rPr>
                </w:pPr>
                <w:r w:rsidRPr="00AF1EE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67" w:type="dxa"/>
            <w:shd w:val="clear" w:color="auto" w:fill="auto"/>
          </w:tcPr>
          <w:p w14:paraId="654C81FD" w14:textId="77777777" w:rsidR="00510E64" w:rsidRDefault="00510E64" w:rsidP="00583D59">
            <w:pPr>
              <w:pStyle w:val="StatementLevel1"/>
            </w:pPr>
            <w:r>
              <w:t>Suspend IRB approval.</w:t>
            </w:r>
          </w:p>
          <w:p w14:paraId="0A2F4EF4" w14:textId="77777777" w:rsidR="00CF2164" w:rsidRDefault="00CF2164" w:rsidP="00CF2164">
            <w:pPr>
              <w:pStyle w:val="StatementLevel1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CB060C">
              <w:fldChar w:fldCharType="separate"/>
            </w:r>
            <w:r w:rsidRPr="00EB4707">
              <w:fldChar w:fldCharType="end"/>
            </w:r>
            <w:r>
              <w:t xml:space="preserve"> Enrollment only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fldChar w:fldCharType="end"/>
            </w:r>
          </w:p>
          <w:p w14:paraId="5B6311D7" w14:textId="33EBDE27" w:rsidR="00CF2164" w:rsidRPr="00985DEF" w:rsidRDefault="00CF2164" w:rsidP="00CF2164">
            <w:pPr>
              <w:pStyle w:val="StatementLevel1"/>
              <w:rPr>
                <w:u w:val="double"/>
              </w:rPr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CB060C">
              <w:fldChar w:fldCharType="separate"/>
            </w:r>
            <w:r w:rsidRPr="00EB4707">
              <w:fldChar w:fldCharType="end"/>
            </w:r>
            <w:r>
              <w:t xml:space="preserve"> All research activities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fldChar w:fldCharType="end"/>
            </w:r>
            <w:r w:rsidR="002B420E" w:rsidRPr="00D174E4">
              <w:rPr>
                <w:i/>
              </w:rPr>
              <w:t xml:space="preserve"> Consider whether such suspension</w:t>
            </w:r>
            <w:r w:rsidR="002B420E">
              <w:rPr>
                <w:i/>
              </w:rPr>
              <w:t xml:space="preserve"> could </w:t>
            </w:r>
            <w:r w:rsidR="002B420E" w:rsidRPr="00D174E4">
              <w:rPr>
                <w:i/>
              </w:rPr>
              <w:t xml:space="preserve">result in harm to currently enrolled subjects </w:t>
            </w:r>
            <w:r w:rsidR="002B420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420E">
              <w:rPr>
                <w:b/>
              </w:rPr>
              <w:instrText xml:space="preserve"> FORMTEXT </w:instrText>
            </w:r>
            <w:r w:rsidR="002B420E">
              <w:fldChar w:fldCharType="separate"/>
            </w:r>
            <w:r w:rsidR="002B420E">
              <w:rPr>
                <w:b/>
                <w:bCs/>
                <w:noProof/>
              </w:rPr>
              <w:t> </w:t>
            </w:r>
            <w:r w:rsidR="002B420E">
              <w:rPr>
                <w:b/>
                <w:bCs/>
                <w:noProof/>
              </w:rPr>
              <w:t> </w:t>
            </w:r>
            <w:r w:rsidR="002B420E">
              <w:rPr>
                <w:b/>
                <w:bCs/>
                <w:noProof/>
              </w:rPr>
              <w:t> </w:t>
            </w:r>
            <w:r w:rsidR="002B420E">
              <w:rPr>
                <w:b/>
                <w:bCs/>
                <w:noProof/>
              </w:rPr>
              <w:t> </w:t>
            </w:r>
            <w:r w:rsidR="002B420E">
              <w:rPr>
                <w:b/>
                <w:bCs/>
                <w:noProof/>
              </w:rPr>
              <w:t> </w:t>
            </w:r>
            <w:r w:rsidR="002B420E">
              <w:fldChar w:fldCharType="end"/>
            </w:r>
          </w:p>
        </w:tc>
      </w:tr>
      <w:tr w:rsidR="00510E64" w:rsidRPr="00985DEF" w14:paraId="7C1DB266" w14:textId="77777777" w:rsidTr="006D770A">
        <w:sdt>
          <w:sdtPr>
            <w:id w:val="208471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3DD06292" w14:textId="77777777" w:rsidR="00510E64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5" w:type="dxa"/>
            <w:shd w:val="clear" w:color="auto" w:fill="auto"/>
          </w:tcPr>
          <w:p w14:paraId="5CB6628F" w14:textId="77777777" w:rsidR="00510E64" w:rsidRDefault="00510E64" w:rsidP="00583D59">
            <w:pPr>
              <w:pStyle w:val="StatementLevel1"/>
            </w:pPr>
            <w:r>
              <w:t xml:space="preserve">Provide additional information to current </w:t>
            </w:r>
            <w:r w:rsidR="001E63CE">
              <w:t>subject</w:t>
            </w:r>
            <w:r>
              <w:t>s (</w:t>
            </w:r>
            <w:r w:rsidR="00D14E10">
              <w:t>w</w:t>
            </w:r>
            <w:r>
              <w:t xml:space="preserve">henever the information may relate to the </w:t>
            </w:r>
            <w:r w:rsidR="001E63CE">
              <w:t>subject</w:t>
            </w:r>
            <w:r>
              <w:t>’s willingness to continue)</w:t>
            </w:r>
            <w:r w:rsidR="00D14E10">
              <w:t>.</w:t>
            </w:r>
          </w:p>
          <w:p w14:paraId="7AC92BB4" w14:textId="77777777" w:rsidR="00026BD2" w:rsidRDefault="00026BD2" w:rsidP="00583D59">
            <w:pPr>
              <w:pStyle w:val="StatementLevel1"/>
              <w:rPr>
                <w:u w:val="double"/>
              </w:rPr>
            </w:pPr>
          </w:p>
          <w:p w14:paraId="3B77BB1A" w14:textId="77777777" w:rsidR="00026BD2" w:rsidRDefault="00026BD2" w:rsidP="00026BD2">
            <w:pPr>
              <w:pStyle w:val="StatementLevel1"/>
            </w:pPr>
            <w:r>
              <w:t xml:space="preserve">1.  Determine the subjects who should be informed: </w:t>
            </w:r>
          </w:p>
          <w:p w14:paraId="7B51AD62" w14:textId="77777777" w:rsidR="00026BD2" w:rsidRDefault="00026BD2" w:rsidP="00026BD2">
            <w:pPr>
              <w:pStyle w:val="StatementLevel1"/>
              <w:ind w:left="316" w:hanging="316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CB060C">
              <w:fldChar w:fldCharType="separate"/>
            </w:r>
            <w:r w:rsidRPr="00EB4707">
              <w:fldChar w:fldCharType="end"/>
            </w:r>
            <w:r>
              <w:t xml:space="preserve"> Information is required as one or more of the elements of consent (21 CFR 50.25 or 45 CFR 46.116) No new subjects can be enrolled until a revised IRB-approved consent document is available. </w:t>
            </w:r>
          </w:p>
          <w:p w14:paraId="077579BF" w14:textId="77777777" w:rsidR="00026BD2" w:rsidRDefault="00026BD2" w:rsidP="00026BD2">
            <w:pPr>
              <w:pStyle w:val="StatementLevel1"/>
              <w:ind w:left="316" w:hanging="316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CB060C">
              <w:fldChar w:fldCharType="separate"/>
            </w:r>
            <w:r w:rsidRPr="00EB4707">
              <w:fldChar w:fldCharType="end"/>
            </w:r>
            <w:r>
              <w:t xml:space="preserve">  Information could affect currently enrolled </w:t>
            </w:r>
            <w:proofErr w:type="gramStart"/>
            <w:r>
              <w:t>subjects</w:t>
            </w:r>
            <w:proofErr w:type="gramEnd"/>
            <w:r>
              <w:t xml:space="preserve"> willingness to continue in the study</w:t>
            </w:r>
          </w:p>
          <w:p w14:paraId="798BA855" w14:textId="77777777" w:rsidR="00026BD2" w:rsidRDefault="00026BD2" w:rsidP="00026BD2">
            <w:pPr>
              <w:pStyle w:val="StatementLevel1"/>
              <w:ind w:left="316" w:hanging="316"/>
            </w:pPr>
          </w:p>
          <w:p w14:paraId="7DC5B2A5" w14:textId="77777777" w:rsidR="00026BD2" w:rsidRDefault="00026BD2" w:rsidP="00026BD2">
            <w:pPr>
              <w:pStyle w:val="StatementLevel1"/>
              <w:ind w:left="316" w:hanging="316"/>
            </w:pPr>
            <w:r>
              <w:t xml:space="preserve">2.  Determine how subjects will be informed: </w:t>
            </w:r>
          </w:p>
          <w:p w14:paraId="24636831" w14:textId="77777777" w:rsidR="00026BD2" w:rsidRDefault="00026BD2" w:rsidP="00026BD2">
            <w:pPr>
              <w:pStyle w:val="StatementLevel1"/>
              <w:ind w:left="316" w:hanging="316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CB060C">
              <w:fldChar w:fldCharType="separate"/>
            </w:r>
            <w:r w:rsidRPr="00EB4707">
              <w:fldChar w:fldCharType="end"/>
            </w:r>
            <w:r>
              <w:t xml:space="preserve">  Inform currently enrolled subjects by asking them to sign a revised consent document </w:t>
            </w:r>
          </w:p>
          <w:p w14:paraId="14A0EA35" w14:textId="72AD4DE9" w:rsidR="00026BD2" w:rsidRDefault="00026BD2" w:rsidP="00026BD2">
            <w:pPr>
              <w:pStyle w:val="StatementLevel1"/>
              <w:ind w:left="316" w:hanging="316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CB060C">
              <w:fldChar w:fldCharType="separate"/>
            </w:r>
            <w:r w:rsidRPr="00EB4707">
              <w:fldChar w:fldCharType="end"/>
            </w:r>
            <w:r>
              <w:t xml:space="preserve">  Verbally tell currently enrolled </w:t>
            </w:r>
          </w:p>
          <w:p w14:paraId="7C45B4E3" w14:textId="6DF1E5ED" w:rsidR="00026BD2" w:rsidRDefault="00026BD2" w:rsidP="00026BD2">
            <w:pPr>
              <w:pStyle w:val="StatementLevel1"/>
              <w:ind w:left="316" w:hanging="316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CB060C">
              <w:fldChar w:fldCharType="separate"/>
            </w:r>
            <w:r w:rsidRPr="00EB4707">
              <w:fldChar w:fldCharType="end"/>
            </w:r>
            <w:r>
              <w:t xml:space="preserve">  Inform currently enrolled via IRB-</w:t>
            </w:r>
            <w:proofErr w:type="gramStart"/>
            <w:r>
              <w:t>approved  letter</w:t>
            </w:r>
            <w:proofErr w:type="gramEnd"/>
          </w:p>
          <w:p w14:paraId="19396D2A" w14:textId="77777777" w:rsidR="00026BD2" w:rsidRDefault="00026BD2" w:rsidP="00026BD2">
            <w:pPr>
              <w:pStyle w:val="StatementLevel1"/>
              <w:ind w:left="316" w:hanging="316"/>
            </w:pPr>
          </w:p>
          <w:p w14:paraId="14EE7B58" w14:textId="4B1DB21C" w:rsidR="00026BD2" w:rsidRDefault="00026BD2" w:rsidP="00026BD2">
            <w:pPr>
              <w:pStyle w:val="StatementLevel1"/>
              <w:rPr>
                <w:u w:val="double"/>
              </w:rPr>
            </w:pPr>
            <w:r>
              <w:t xml:space="preserve">3.  Determine whether PI should be informed not to enroll subjects until s/he has obtained an IRB-approved consent document that includes </w:t>
            </w:r>
            <w:proofErr w:type="gramStart"/>
            <w:r>
              <w:t>all of</w:t>
            </w:r>
            <w:proofErr w:type="gramEnd"/>
            <w:r>
              <w:t xml:space="preserve"> the elements required by regulations.  Yes </w:t>
            </w: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CB060C">
              <w:fldChar w:fldCharType="separate"/>
            </w:r>
            <w:r w:rsidRPr="00EB4707">
              <w:fldChar w:fldCharType="end"/>
            </w:r>
            <w:r>
              <w:t xml:space="preserve">  No </w:t>
            </w: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CB060C">
              <w:fldChar w:fldCharType="separate"/>
            </w:r>
            <w:r w:rsidRPr="00EB4707">
              <w:fldChar w:fldCharType="end"/>
            </w:r>
          </w:p>
          <w:p w14:paraId="2ECC148B" w14:textId="77777777" w:rsidR="00026BD2" w:rsidRDefault="00026BD2" w:rsidP="00583D59">
            <w:pPr>
              <w:pStyle w:val="StatementLevel1"/>
              <w:rPr>
                <w:u w:val="double"/>
              </w:rPr>
            </w:pPr>
          </w:p>
          <w:p w14:paraId="7E624CC9" w14:textId="7E2D66C2" w:rsidR="00026BD2" w:rsidRPr="00985DEF" w:rsidRDefault="00026BD2" w:rsidP="00583D59">
            <w:pPr>
              <w:pStyle w:val="StatementLevel1"/>
              <w:rPr>
                <w:u w:val="double"/>
              </w:rPr>
            </w:pPr>
          </w:p>
        </w:tc>
        <w:sdt>
          <w:sdtPr>
            <w:rPr>
              <w:b/>
              <w:bCs/>
            </w:rPr>
            <w:id w:val="16945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1C28B262" w14:textId="77777777" w:rsidR="00510E64" w:rsidRPr="00AF1EED" w:rsidRDefault="00E20B61" w:rsidP="00583D59">
                <w:pPr>
                  <w:pStyle w:val="StatementLevel1"/>
                  <w:rPr>
                    <w:b/>
                    <w:bCs/>
                  </w:rPr>
                </w:pPr>
                <w:r w:rsidRPr="00AF1EE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67" w:type="dxa"/>
            <w:shd w:val="clear" w:color="auto" w:fill="auto"/>
          </w:tcPr>
          <w:p w14:paraId="60501AB6" w14:textId="7B871ABD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 xml:space="preserve">Transfer </w:t>
            </w:r>
            <w:r w:rsidR="001E63CE">
              <w:t>subject</w:t>
            </w:r>
            <w:r>
              <w:t>s to another investigator</w:t>
            </w:r>
            <w:r w:rsidR="00D14E10">
              <w:t>.</w:t>
            </w:r>
          </w:p>
        </w:tc>
      </w:tr>
      <w:tr w:rsidR="00510E64" w:rsidRPr="00985DEF" w14:paraId="5DB57B83" w14:textId="77777777" w:rsidTr="006D770A">
        <w:sdt>
          <w:sdtPr>
            <w:id w:val="81130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1A51DDAE" w14:textId="77777777" w:rsidR="00510E64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5" w:type="dxa"/>
            <w:shd w:val="clear" w:color="auto" w:fill="auto"/>
          </w:tcPr>
          <w:p w14:paraId="533FD053" w14:textId="77777777" w:rsidR="00510E64" w:rsidRDefault="00510E64" w:rsidP="00583D59">
            <w:pPr>
              <w:pStyle w:val="StatementLevel1"/>
            </w:pPr>
            <w:r>
              <w:t xml:space="preserve">Provide additional information to past </w:t>
            </w:r>
            <w:r w:rsidR="001E63CE">
              <w:t>subject</w:t>
            </w:r>
            <w:r>
              <w:t>s.</w:t>
            </w:r>
          </w:p>
          <w:p w14:paraId="2CC48B03" w14:textId="2D85BB36" w:rsidR="00026BD2" w:rsidRDefault="00026BD2" w:rsidP="00026BD2">
            <w:pPr>
              <w:pStyle w:val="StatementLevel1"/>
              <w:ind w:left="316" w:hanging="316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CB060C">
              <w:fldChar w:fldCharType="separate"/>
            </w:r>
            <w:r w:rsidRPr="00EB4707">
              <w:fldChar w:fldCharType="end"/>
            </w:r>
            <w:r>
              <w:t xml:space="preserve">  Verbally tell past subjects</w:t>
            </w:r>
          </w:p>
          <w:p w14:paraId="0B15B05C" w14:textId="2FD12112" w:rsidR="00026BD2" w:rsidRDefault="00026BD2" w:rsidP="00026BD2">
            <w:pPr>
              <w:pStyle w:val="StatementLevel1"/>
              <w:ind w:left="316" w:hanging="316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CB060C">
              <w:fldChar w:fldCharType="separate"/>
            </w:r>
            <w:r w:rsidRPr="00EB4707">
              <w:fldChar w:fldCharType="end"/>
            </w:r>
            <w:r>
              <w:t xml:space="preserve">  Inform past subjects via IRB-</w:t>
            </w:r>
            <w:proofErr w:type="gramStart"/>
            <w:r>
              <w:t>approved  letter</w:t>
            </w:r>
            <w:proofErr w:type="gramEnd"/>
          </w:p>
          <w:p w14:paraId="51B221F8" w14:textId="419D868E" w:rsidR="00026BD2" w:rsidRPr="00985DEF" w:rsidRDefault="00026BD2" w:rsidP="00583D59">
            <w:pPr>
              <w:pStyle w:val="StatementLevel1"/>
              <w:rPr>
                <w:u w:val="double"/>
              </w:rPr>
            </w:pPr>
          </w:p>
        </w:tc>
        <w:sdt>
          <w:sdtPr>
            <w:rPr>
              <w:b/>
              <w:bCs/>
            </w:rPr>
            <w:id w:val="-139627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39CE050E" w14:textId="77777777" w:rsidR="00510E64" w:rsidRPr="00AF1EED" w:rsidRDefault="00E20B61" w:rsidP="00583D59">
                <w:pPr>
                  <w:pStyle w:val="StatementLevel1"/>
                  <w:rPr>
                    <w:b/>
                    <w:bCs/>
                  </w:rPr>
                </w:pPr>
                <w:r w:rsidRPr="00AF1EE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67" w:type="dxa"/>
            <w:shd w:val="clear" w:color="auto" w:fill="auto"/>
          </w:tcPr>
          <w:p w14:paraId="2FA4BB62" w14:textId="0919CA56" w:rsidR="00510E64" w:rsidRPr="00985DEF" w:rsidRDefault="00510E64" w:rsidP="00583D59">
            <w:pPr>
              <w:pStyle w:val="StatementLevel1"/>
              <w:rPr>
                <w:u w:val="double"/>
              </w:rPr>
            </w:pPr>
            <w:proofErr w:type="gramStart"/>
            <w:r>
              <w:t>Make arrangements</w:t>
            </w:r>
            <w:proofErr w:type="gramEnd"/>
            <w:r>
              <w:t xml:space="preserve"> for clinical care outside the research</w:t>
            </w:r>
            <w:r w:rsidR="00D14E10">
              <w:t>.</w:t>
            </w:r>
          </w:p>
        </w:tc>
      </w:tr>
      <w:tr w:rsidR="006D770A" w:rsidRPr="00985DEF" w14:paraId="08FE28C9" w14:textId="77777777" w:rsidTr="006D770A">
        <w:tc>
          <w:tcPr>
            <w:tcW w:w="492" w:type="dxa"/>
          </w:tcPr>
          <w:p w14:paraId="1650336C" w14:textId="75D8749A" w:rsidR="006D770A" w:rsidRPr="006D770A" w:rsidRDefault="006D770A" w:rsidP="00BB1EA0">
            <w:pPr>
              <w:pStyle w:val="Yes-No"/>
              <w:rPr>
                <w:strike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965" w:type="dxa"/>
            <w:shd w:val="clear" w:color="auto" w:fill="auto"/>
          </w:tcPr>
          <w:p w14:paraId="1DD1801E" w14:textId="2F8C8048" w:rsidR="006D770A" w:rsidRPr="006D770A" w:rsidRDefault="006D770A" w:rsidP="00583D59">
            <w:pPr>
              <w:pStyle w:val="StatementLevel1"/>
              <w:rPr>
                <w:strike/>
                <w:u w:val="double"/>
              </w:rPr>
            </w:pPr>
            <w:r>
              <w:t>Increase the frequency of continuing review.</w:t>
            </w:r>
          </w:p>
        </w:tc>
        <w:sdt>
          <w:sdtPr>
            <w:rPr>
              <w:b/>
              <w:bCs/>
            </w:rPr>
            <w:id w:val="-18266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  <w:shd w:val="clear" w:color="auto" w:fill="auto"/>
              </w:tcPr>
              <w:p w14:paraId="092CB620" w14:textId="77777777" w:rsidR="006D770A" w:rsidRPr="00AF1EED" w:rsidRDefault="006D770A" w:rsidP="00583D59">
                <w:pPr>
                  <w:pStyle w:val="StatementLevel1"/>
                  <w:rPr>
                    <w:b/>
                    <w:bCs/>
                  </w:rPr>
                </w:pPr>
                <w:r w:rsidRPr="00AF1EE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67" w:type="dxa"/>
            <w:shd w:val="clear" w:color="auto" w:fill="auto"/>
          </w:tcPr>
          <w:p w14:paraId="74E66D61" w14:textId="77777777" w:rsidR="006D770A" w:rsidRDefault="006D770A" w:rsidP="00583D59">
            <w:pPr>
              <w:pStyle w:val="StatementLevel1"/>
            </w:pPr>
            <w:r>
              <w:t>Allow continuation of some research activities under the supervision of an independent monitor.</w:t>
            </w:r>
          </w:p>
          <w:p w14:paraId="13539815" w14:textId="7086A002" w:rsidR="006D770A" w:rsidRPr="00985DEF" w:rsidRDefault="006D770A" w:rsidP="00583D59">
            <w:pPr>
              <w:pStyle w:val="StatementLevel1"/>
              <w:rPr>
                <w:u w:val="double"/>
              </w:rPr>
            </w:pPr>
            <w:r>
              <w:t>Request a Quality Review</w:t>
            </w:r>
          </w:p>
        </w:tc>
      </w:tr>
      <w:tr w:rsidR="006D770A" w:rsidRPr="00985DEF" w14:paraId="1EB63583" w14:textId="77777777" w:rsidTr="006D770A">
        <w:sdt>
          <w:sdtPr>
            <w:id w:val="9869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196F619E" w14:textId="2DF47621" w:rsidR="006D770A" w:rsidRPr="00EB4707" w:rsidRDefault="006D770A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5" w:type="dxa"/>
            <w:shd w:val="clear" w:color="auto" w:fill="auto"/>
          </w:tcPr>
          <w:p w14:paraId="61009F85" w14:textId="2B4188D7" w:rsidR="006D770A" w:rsidRDefault="006D770A" w:rsidP="00583D59">
            <w:pPr>
              <w:pStyle w:val="StatementLevel1"/>
            </w:pPr>
            <w:r>
              <w:t>Observe the research.</w:t>
            </w:r>
          </w:p>
        </w:tc>
        <w:sdt>
          <w:sdtPr>
            <w:id w:val="77329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  <w:shd w:val="clear" w:color="auto" w:fill="auto"/>
              </w:tcPr>
              <w:p w14:paraId="6FF4A933" w14:textId="7814849A" w:rsidR="006D770A" w:rsidRPr="00EB4707" w:rsidRDefault="006D770A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7" w:type="dxa"/>
            <w:shd w:val="clear" w:color="auto" w:fill="auto"/>
          </w:tcPr>
          <w:p w14:paraId="180BFB59" w14:textId="3B22D213" w:rsidR="006D770A" w:rsidRPr="006D770A" w:rsidRDefault="006D770A" w:rsidP="00583D59">
            <w:pPr>
              <w:pStyle w:val="StatementLevel1"/>
              <w:rPr>
                <w:strike/>
                <w:u w:val="double"/>
              </w:rPr>
            </w:pPr>
            <w:r>
              <w:t>Require adverse events or outcomes to be reported to the IRB and the sponsor.</w:t>
            </w:r>
          </w:p>
        </w:tc>
      </w:tr>
      <w:tr w:rsidR="006D770A" w:rsidRPr="00985DEF" w14:paraId="57E510C2" w14:textId="77777777" w:rsidTr="006D770A">
        <w:sdt>
          <w:sdtPr>
            <w:id w:val="-2305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4F2FB490" w14:textId="101D149F" w:rsidR="006D770A" w:rsidRPr="00EB4707" w:rsidRDefault="006D770A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5" w:type="dxa"/>
            <w:shd w:val="clear" w:color="auto" w:fill="auto"/>
          </w:tcPr>
          <w:p w14:paraId="742EC736" w14:textId="6E459199" w:rsidR="006D770A" w:rsidRDefault="006D770A" w:rsidP="00583D59">
            <w:pPr>
              <w:pStyle w:val="StatementLevel1"/>
            </w:pPr>
            <w:r>
              <w:t>Observe the consent process.</w:t>
            </w:r>
          </w:p>
        </w:tc>
        <w:sdt>
          <w:sdtPr>
            <w:id w:val="62404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  <w:shd w:val="clear" w:color="auto" w:fill="auto"/>
              </w:tcPr>
              <w:p w14:paraId="419D46B9" w14:textId="614413F4" w:rsidR="006D770A" w:rsidRPr="00EB4707" w:rsidRDefault="006D770A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7" w:type="dxa"/>
            <w:shd w:val="clear" w:color="auto" w:fill="auto"/>
          </w:tcPr>
          <w:p w14:paraId="49AEF475" w14:textId="23451F72" w:rsidR="006D770A" w:rsidRPr="00985DEF" w:rsidRDefault="006D770A" w:rsidP="00583D59">
            <w:pPr>
              <w:pStyle w:val="StatementLevel1"/>
              <w:rPr>
                <w:u w:val="double"/>
              </w:rPr>
            </w:pPr>
            <w:r>
              <w:t>Table review and obtain additional information.</w:t>
            </w:r>
          </w:p>
        </w:tc>
      </w:tr>
      <w:tr w:rsidR="006D770A" w:rsidRPr="00985DEF" w14:paraId="6461C877" w14:textId="77777777" w:rsidTr="006D770A">
        <w:sdt>
          <w:sdtPr>
            <w:id w:val="-80330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09C0BDAB" w14:textId="3F9724CA" w:rsidR="006D770A" w:rsidRPr="00EB4707" w:rsidRDefault="006D770A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5" w:type="dxa"/>
            <w:shd w:val="clear" w:color="auto" w:fill="auto"/>
          </w:tcPr>
          <w:p w14:paraId="4238FEC5" w14:textId="416A8E6E" w:rsidR="006D770A" w:rsidRDefault="006D770A" w:rsidP="00583D59">
            <w:pPr>
              <w:pStyle w:val="StatementLevel1"/>
            </w:pPr>
            <w:r>
              <w:t>Require additional training of the investigator.</w:t>
            </w:r>
          </w:p>
        </w:tc>
        <w:sdt>
          <w:sdtPr>
            <w:id w:val="213921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  <w:shd w:val="clear" w:color="auto" w:fill="auto"/>
              </w:tcPr>
              <w:p w14:paraId="1F92A781" w14:textId="02CC7FAB" w:rsidR="006D770A" w:rsidRPr="00EB4707" w:rsidRDefault="006D770A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7" w:type="dxa"/>
            <w:shd w:val="clear" w:color="auto" w:fill="auto"/>
          </w:tcPr>
          <w:p w14:paraId="5830D4D5" w14:textId="12F17D13" w:rsidR="006D770A" w:rsidRPr="00985DEF" w:rsidRDefault="006D770A" w:rsidP="00583D59">
            <w:pPr>
              <w:pStyle w:val="StatementLevel1"/>
              <w:rPr>
                <w:u w:val="double"/>
              </w:rPr>
            </w:pPr>
            <w:r w:rsidRPr="00480BA4">
              <w:t xml:space="preserve">Consider whether changes without prior IRB review and approval </w:t>
            </w:r>
            <w:r>
              <w:t xml:space="preserve">were </w:t>
            </w:r>
            <w:r w:rsidRPr="00480BA4">
              <w:t>consistent with ensur</w:t>
            </w:r>
            <w:r>
              <w:t>ing</w:t>
            </w:r>
            <w:r w:rsidRPr="00480BA4">
              <w:t xml:space="preserve"> the subject’s continued welfare.</w:t>
            </w:r>
          </w:p>
        </w:tc>
      </w:tr>
      <w:tr w:rsidR="006D770A" w:rsidRPr="00985DEF" w14:paraId="43B9C0C9" w14:textId="77777777" w:rsidTr="005B57D7">
        <w:trPr>
          <w:trHeight w:val="529"/>
        </w:trPr>
        <w:tc>
          <w:tcPr>
            <w:tcW w:w="492" w:type="dxa"/>
          </w:tcPr>
          <w:sdt>
            <w:sdtPr>
              <w:id w:val="-1927408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149831" w14:textId="4AFF7D75" w:rsidR="006D770A" w:rsidRPr="00EB4707" w:rsidRDefault="006D770A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6547C50" w14:textId="1D66D08A" w:rsidR="006D770A" w:rsidRPr="00EB4707" w:rsidRDefault="006D770A" w:rsidP="00BB1EA0">
            <w:pPr>
              <w:pStyle w:val="Yes-No"/>
            </w:pPr>
          </w:p>
        </w:tc>
        <w:tc>
          <w:tcPr>
            <w:tcW w:w="4965" w:type="dxa"/>
            <w:shd w:val="clear" w:color="auto" w:fill="auto"/>
          </w:tcPr>
          <w:p w14:paraId="4231BEF0" w14:textId="28F565A0" w:rsidR="006D770A" w:rsidRDefault="006D770A" w:rsidP="00583D59">
            <w:pPr>
              <w:pStyle w:val="StatementLevel1"/>
            </w:pPr>
            <w:r>
              <w:t>Notify investigators at other sites for multi-site studies.</w:t>
            </w:r>
          </w:p>
        </w:tc>
        <w:sdt>
          <w:sdtPr>
            <w:id w:val="185229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  <w:shd w:val="clear" w:color="auto" w:fill="auto"/>
              </w:tcPr>
              <w:p w14:paraId="0976C7AB" w14:textId="77777777" w:rsidR="006D770A" w:rsidRPr="00EB4707" w:rsidRDefault="006D770A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7" w:type="dxa"/>
            <w:shd w:val="clear" w:color="auto" w:fill="auto"/>
          </w:tcPr>
          <w:p w14:paraId="2CD6B3BA" w14:textId="77777777" w:rsidR="006D770A" w:rsidRPr="00480BA4" w:rsidRDefault="006D770A" w:rsidP="00583D59">
            <w:pPr>
              <w:pStyle w:val="StatementLevel1"/>
            </w:pPr>
            <w:r w:rsidRPr="00480BA4">
              <w:t xml:space="preserve">Consider whether changes without prior IRB review and approval </w:t>
            </w:r>
            <w:r>
              <w:t xml:space="preserve">were </w:t>
            </w:r>
            <w:r w:rsidRPr="00480BA4">
              <w:t>consistent with ensur</w:t>
            </w:r>
            <w:r>
              <w:t>ing</w:t>
            </w:r>
            <w:r w:rsidRPr="00480BA4">
              <w:t xml:space="preserve"> the subject’s continued welfare.</w:t>
            </w:r>
          </w:p>
        </w:tc>
      </w:tr>
    </w:tbl>
    <w:p w14:paraId="06CF9DF0" w14:textId="77777777" w:rsidR="001B56EF" w:rsidRDefault="001B56EF" w:rsidP="00CF09F6">
      <w:pPr>
        <w:jc w:val="center"/>
      </w:pPr>
    </w:p>
    <w:sectPr w:rsidR="001B56EF" w:rsidSect="00C031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E8DB6" w14:textId="77777777" w:rsidR="00CB060C" w:rsidRDefault="00CB060C">
      <w:r>
        <w:separator/>
      </w:r>
    </w:p>
  </w:endnote>
  <w:endnote w:type="continuationSeparator" w:id="0">
    <w:p w14:paraId="44DD45A6" w14:textId="77777777" w:rsidR="00CB060C" w:rsidRDefault="00CB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17AF9" w14:textId="77777777" w:rsidR="00E75215" w:rsidRDefault="00E75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69A7C" w14:textId="77777777" w:rsidR="00E75215" w:rsidRDefault="00E75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03F4D" w14:textId="77777777" w:rsidR="00E75215" w:rsidRDefault="00E75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6900E" w14:textId="77777777" w:rsidR="00CB060C" w:rsidRDefault="00CB060C">
      <w:r>
        <w:separator/>
      </w:r>
    </w:p>
  </w:footnote>
  <w:footnote w:type="continuationSeparator" w:id="0">
    <w:p w14:paraId="2218D144" w14:textId="77777777" w:rsidR="00CB060C" w:rsidRDefault="00CB060C">
      <w:r>
        <w:continuationSeparator/>
      </w:r>
    </w:p>
  </w:footnote>
  <w:footnote w:id="1">
    <w:p w14:paraId="34D4788C" w14:textId="005CA0DD" w:rsidR="00E97ABE" w:rsidRDefault="00E97ABE" w:rsidP="00E97ABE">
      <w:pPr>
        <w:pStyle w:val="FootnoteText"/>
      </w:pPr>
      <w:r>
        <w:rPr>
          <w:rStyle w:val="FootnoteReference"/>
        </w:rPr>
        <w:footnoteRef/>
      </w:r>
      <w:r>
        <w:t xml:space="preserve"> This document satisfies AAHRPP elements I.5.A, I.5.D, I-9, II.2.G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27580" w14:textId="77777777" w:rsidR="00E75215" w:rsidRDefault="00E75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331"/>
      <w:gridCol w:w="3447"/>
      <w:gridCol w:w="2790"/>
      <w:gridCol w:w="136"/>
      <w:gridCol w:w="2323"/>
    </w:tblGrid>
    <w:tr w:rsidR="00E95260" w14:paraId="2EDFB8FF" w14:textId="77777777" w:rsidTr="008F5E50">
      <w:trPr>
        <w:cantSplit/>
        <w:trHeight w:val="260"/>
      </w:trPr>
      <w:tc>
        <w:tcPr>
          <w:tcW w:w="2331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B7F05AF" w14:textId="2C460186" w:rsidR="00E95260" w:rsidRDefault="008F5E50" w:rsidP="00E95260">
          <w:pPr>
            <w:rPr>
              <w:rFonts w:ascii="Arial" w:hAnsi="Arial" w:cs="Arial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14B53B7D" wp14:editId="07B7DAAB">
                <wp:extent cx="1343025" cy="714375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9ED42" w14:textId="65884519" w:rsidR="00E95260" w:rsidRDefault="00E95260" w:rsidP="00E95260">
          <w:pPr>
            <w:pStyle w:val="SOPName"/>
            <w:spacing w:before="120" w:after="120" w:line="276" w:lineRule="auto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WORKSHEET: Review of Information Items</w:t>
          </w:r>
        </w:p>
      </w:tc>
    </w:tr>
    <w:tr w:rsidR="00E95260" w14:paraId="1CED79FB" w14:textId="77777777" w:rsidTr="008F5E50">
      <w:trPr>
        <w:cantSplit/>
        <w:trHeight w:val="288"/>
      </w:trPr>
      <w:tc>
        <w:tcPr>
          <w:tcW w:w="2331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7C8D512" w14:textId="77777777" w:rsidR="00E95260" w:rsidRDefault="00E95260" w:rsidP="00E95260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4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EA2FA7D" w14:textId="77777777" w:rsidR="00E95260" w:rsidRDefault="00E95260" w:rsidP="00E95260">
          <w:pPr>
            <w:pStyle w:val="SOPTableHeader"/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7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D707D47" w14:textId="77777777" w:rsidR="00E95260" w:rsidRDefault="00E95260" w:rsidP="00E95260">
          <w:pPr>
            <w:pStyle w:val="SOPTableHeader"/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4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F82EDE6" w14:textId="77777777" w:rsidR="00E95260" w:rsidRDefault="00E95260" w:rsidP="00E95260">
          <w:pPr>
            <w:pStyle w:val="SOPTableHeader"/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E95260" w14:paraId="4805FD1F" w14:textId="77777777" w:rsidTr="008F5E50">
      <w:trPr>
        <w:cantSplit/>
        <w:trHeight w:val="288"/>
      </w:trPr>
      <w:tc>
        <w:tcPr>
          <w:tcW w:w="2331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D6D5B76" w14:textId="77777777" w:rsidR="00E95260" w:rsidRDefault="00E95260" w:rsidP="00E95260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4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75AB06F" w14:textId="37F82EE7" w:rsidR="00E95260" w:rsidRDefault="00E95260" w:rsidP="00E95260">
          <w:pPr>
            <w:pStyle w:val="SOPTableEntry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HRP-321</w:t>
          </w:r>
        </w:p>
      </w:tc>
      <w:tc>
        <w:tcPr>
          <w:tcW w:w="29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D2F61BF" w14:textId="4C63DF03" w:rsidR="00E95260" w:rsidRDefault="00D64948" w:rsidP="00E95260">
          <w:pPr>
            <w:pStyle w:val="SOPTableEntry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</w:t>
          </w:r>
          <w:r w:rsidR="00094840">
            <w:rPr>
              <w:rFonts w:ascii="Arial" w:hAnsi="Arial" w:cs="Arial"/>
            </w:rPr>
            <w:t>1</w:t>
          </w:r>
          <w:r w:rsidR="004E6636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/20</w:t>
          </w:r>
          <w:r w:rsidR="00094840">
            <w:rPr>
              <w:rFonts w:ascii="Arial" w:hAnsi="Arial" w:cs="Arial"/>
            </w:rPr>
            <w:t>2</w:t>
          </w:r>
          <w:r w:rsidR="004E6636">
            <w:rPr>
              <w:rFonts w:ascii="Arial" w:hAnsi="Arial" w:cs="Arial"/>
            </w:rPr>
            <w:t>1</w:t>
          </w:r>
        </w:p>
      </w:tc>
      <w:tc>
        <w:tcPr>
          <w:tcW w:w="23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DC5CAE9" w14:textId="77777777" w:rsidR="00E95260" w:rsidRDefault="00E95260" w:rsidP="00E95260">
          <w:pPr>
            <w:pStyle w:val="SOPTableEntry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687D582D" w14:textId="2BAC998E" w:rsidR="00E95260" w:rsidRPr="00E95260" w:rsidRDefault="00E95260" w:rsidP="00E95260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005EA" w14:textId="77777777" w:rsidR="00E75215" w:rsidRDefault="00E75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4A6FCA"/>
    <w:multiLevelType w:val="hybridMultilevel"/>
    <w:tmpl w:val="D6CE4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55F211C"/>
    <w:multiLevelType w:val="hybridMultilevel"/>
    <w:tmpl w:val="A856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25"/>
  </w:num>
  <w:num w:numId="17">
    <w:abstractNumId w:val="12"/>
  </w:num>
  <w:num w:numId="18">
    <w:abstractNumId w:val="24"/>
  </w:num>
  <w:num w:numId="19">
    <w:abstractNumId w:val="23"/>
  </w:num>
  <w:num w:numId="20">
    <w:abstractNumId w:val="22"/>
  </w:num>
  <w:num w:numId="21">
    <w:abstractNumId w:val="26"/>
  </w:num>
  <w:num w:numId="22">
    <w:abstractNumId w:val="15"/>
  </w:num>
  <w:num w:numId="23">
    <w:abstractNumId w:val="11"/>
  </w:num>
  <w:num w:numId="24">
    <w:abstractNumId w:val="28"/>
  </w:num>
  <w:num w:numId="25">
    <w:abstractNumId w:val="14"/>
  </w:num>
  <w:num w:numId="26">
    <w:abstractNumId w:val="18"/>
  </w:num>
  <w:num w:numId="27">
    <w:abstractNumId w:val="27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6"/>
  </w:num>
  <w:num w:numId="34">
    <w:abstractNumId w:val="18"/>
  </w:num>
  <w:num w:numId="35">
    <w:abstractNumId w:val="1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249"/>
    <w:rsid w:val="00022C0B"/>
    <w:rsid w:val="00026BD2"/>
    <w:rsid w:val="000366A6"/>
    <w:rsid w:val="00050BC0"/>
    <w:rsid w:val="00065B05"/>
    <w:rsid w:val="00071367"/>
    <w:rsid w:val="00071BF7"/>
    <w:rsid w:val="00076A61"/>
    <w:rsid w:val="00083244"/>
    <w:rsid w:val="00084119"/>
    <w:rsid w:val="00094840"/>
    <w:rsid w:val="000954C3"/>
    <w:rsid w:val="00095FCE"/>
    <w:rsid w:val="000A1E93"/>
    <w:rsid w:val="000C526D"/>
    <w:rsid w:val="0010583C"/>
    <w:rsid w:val="00115EF9"/>
    <w:rsid w:val="0012013D"/>
    <w:rsid w:val="00122270"/>
    <w:rsid w:val="00126A31"/>
    <w:rsid w:val="00182E61"/>
    <w:rsid w:val="00194A43"/>
    <w:rsid w:val="001B56EF"/>
    <w:rsid w:val="001B5BD9"/>
    <w:rsid w:val="001E63CE"/>
    <w:rsid w:val="00217933"/>
    <w:rsid w:val="00222833"/>
    <w:rsid w:val="002266CE"/>
    <w:rsid w:val="00232213"/>
    <w:rsid w:val="00234213"/>
    <w:rsid w:val="00240E21"/>
    <w:rsid w:val="002459C5"/>
    <w:rsid w:val="00261A25"/>
    <w:rsid w:val="00261EA9"/>
    <w:rsid w:val="00261FD9"/>
    <w:rsid w:val="0028345A"/>
    <w:rsid w:val="00292EE1"/>
    <w:rsid w:val="00292EEC"/>
    <w:rsid w:val="002A12A5"/>
    <w:rsid w:val="002A3F5D"/>
    <w:rsid w:val="002B420E"/>
    <w:rsid w:val="002C58F9"/>
    <w:rsid w:val="002F31D3"/>
    <w:rsid w:val="0030441F"/>
    <w:rsid w:val="00305112"/>
    <w:rsid w:val="00310294"/>
    <w:rsid w:val="00321577"/>
    <w:rsid w:val="003279F1"/>
    <w:rsid w:val="00336425"/>
    <w:rsid w:val="00337A42"/>
    <w:rsid w:val="00380737"/>
    <w:rsid w:val="003914AB"/>
    <w:rsid w:val="003A49AC"/>
    <w:rsid w:val="003B3C3A"/>
    <w:rsid w:val="003C57F7"/>
    <w:rsid w:val="003D50AD"/>
    <w:rsid w:val="003D51D3"/>
    <w:rsid w:val="003E1AF6"/>
    <w:rsid w:val="003E6066"/>
    <w:rsid w:val="004113B3"/>
    <w:rsid w:val="00421BE3"/>
    <w:rsid w:val="0043253F"/>
    <w:rsid w:val="00436538"/>
    <w:rsid w:val="00442DA7"/>
    <w:rsid w:val="00444005"/>
    <w:rsid w:val="004465CF"/>
    <w:rsid w:val="0045545D"/>
    <w:rsid w:val="0046138D"/>
    <w:rsid w:val="00465E68"/>
    <w:rsid w:val="00480BA4"/>
    <w:rsid w:val="0049557C"/>
    <w:rsid w:val="004A566F"/>
    <w:rsid w:val="004D2EA4"/>
    <w:rsid w:val="004D4477"/>
    <w:rsid w:val="004E6636"/>
    <w:rsid w:val="00506B1C"/>
    <w:rsid w:val="00510E64"/>
    <w:rsid w:val="005216A7"/>
    <w:rsid w:val="00540836"/>
    <w:rsid w:val="00551612"/>
    <w:rsid w:val="005540BA"/>
    <w:rsid w:val="00576EBE"/>
    <w:rsid w:val="00583D59"/>
    <w:rsid w:val="005A1058"/>
    <w:rsid w:val="005A6665"/>
    <w:rsid w:val="005C3F16"/>
    <w:rsid w:val="005D61F8"/>
    <w:rsid w:val="00606A84"/>
    <w:rsid w:val="00610071"/>
    <w:rsid w:val="006136C9"/>
    <w:rsid w:val="00617045"/>
    <w:rsid w:val="00625EC2"/>
    <w:rsid w:val="00636CA2"/>
    <w:rsid w:val="00660C0B"/>
    <w:rsid w:val="00662B81"/>
    <w:rsid w:val="006649A9"/>
    <w:rsid w:val="0069117E"/>
    <w:rsid w:val="00692EED"/>
    <w:rsid w:val="006970D0"/>
    <w:rsid w:val="006A7F27"/>
    <w:rsid w:val="006C7989"/>
    <w:rsid w:val="006D56D3"/>
    <w:rsid w:val="006D770A"/>
    <w:rsid w:val="006E5F6E"/>
    <w:rsid w:val="007448E8"/>
    <w:rsid w:val="00745F5A"/>
    <w:rsid w:val="00746AEB"/>
    <w:rsid w:val="00755189"/>
    <w:rsid w:val="0076488A"/>
    <w:rsid w:val="00765CA8"/>
    <w:rsid w:val="00780E01"/>
    <w:rsid w:val="00782881"/>
    <w:rsid w:val="007900CD"/>
    <w:rsid w:val="007A64FA"/>
    <w:rsid w:val="007B4338"/>
    <w:rsid w:val="007E47DA"/>
    <w:rsid w:val="00837738"/>
    <w:rsid w:val="008630EB"/>
    <w:rsid w:val="00873562"/>
    <w:rsid w:val="00873E95"/>
    <w:rsid w:val="00887DC5"/>
    <w:rsid w:val="008947A7"/>
    <w:rsid w:val="008A6415"/>
    <w:rsid w:val="008C6ACE"/>
    <w:rsid w:val="008D25A1"/>
    <w:rsid w:val="008F16B0"/>
    <w:rsid w:val="008F5702"/>
    <w:rsid w:val="008F5E50"/>
    <w:rsid w:val="0090179D"/>
    <w:rsid w:val="00904B00"/>
    <w:rsid w:val="009100EF"/>
    <w:rsid w:val="009232E3"/>
    <w:rsid w:val="0094087F"/>
    <w:rsid w:val="00944550"/>
    <w:rsid w:val="00985DEF"/>
    <w:rsid w:val="009C4400"/>
    <w:rsid w:val="009E52F3"/>
    <w:rsid w:val="00A05445"/>
    <w:rsid w:val="00A203E7"/>
    <w:rsid w:val="00A404AB"/>
    <w:rsid w:val="00A60AFF"/>
    <w:rsid w:val="00A725DB"/>
    <w:rsid w:val="00A874C8"/>
    <w:rsid w:val="00A94528"/>
    <w:rsid w:val="00AB5B22"/>
    <w:rsid w:val="00AC4069"/>
    <w:rsid w:val="00AD325F"/>
    <w:rsid w:val="00AD4F01"/>
    <w:rsid w:val="00AD5394"/>
    <w:rsid w:val="00AE1DBD"/>
    <w:rsid w:val="00AE2818"/>
    <w:rsid w:val="00AF1EED"/>
    <w:rsid w:val="00AF7A30"/>
    <w:rsid w:val="00B014FE"/>
    <w:rsid w:val="00B0703F"/>
    <w:rsid w:val="00B10496"/>
    <w:rsid w:val="00B32405"/>
    <w:rsid w:val="00B4278A"/>
    <w:rsid w:val="00B86C18"/>
    <w:rsid w:val="00BA00A1"/>
    <w:rsid w:val="00BB1EA0"/>
    <w:rsid w:val="00BC70A7"/>
    <w:rsid w:val="00BD4FCE"/>
    <w:rsid w:val="00BE0B19"/>
    <w:rsid w:val="00BE54A6"/>
    <w:rsid w:val="00C0319E"/>
    <w:rsid w:val="00C16179"/>
    <w:rsid w:val="00C21E3E"/>
    <w:rsid w:val="00C23249"/>
    <w:rsid w:val="00C425A1"/>
    <w:rsid w:val="00C62E47"/>
    <w:rsid w:val="00C93AEA"/>
    <w:rsid w:val="00CA03D9"/>
    <w:rsid w:val="00CA23B1"/>
    <w:rsid w:val="00CA3DB2"/>
    <w:rsid w:val="00CB0526"/>
    <w:rsid w:val="00CB060C"/>
    <w:rsid w:val="00CB4E15"/>
    <w:rsid w:val="00CD1433"/>
    <w:rsid w:val="00CD18BC"/>
    <w:rsid w:val="00CE4211"/>
    <w:rsid w:val="00CF09F6"/>
    <w:rsid w:val="00CF2164"/>
    <w:rsid w:val="00D054B6"/>
    <w:rsid w:val="00D10A06"/>
    <w:rsid w:val="00D14845"/>
    <w:rsid w:val="00D14E10"/>
    <w:rsid w:val="00D166F9"/>
    <w:rsid w:val="00D337DC"/>
    <w:rsid w:val="00D4097D"/>
    <w:rsid w:val="00D40A10"/>
    <w:rsid w:val="00D576FF"/>
    <w:rsid w:val="00D64948"/>
    <w:rsid w:val="00DA1AFB"/>
    <w:rsid w:val="00DA7A32"/>
    <w:rsid w:val="00DB1508"/>
    <w:rsid w:val="00DC2F67"/>
    <w:rsid w:val="00DD3220"/>
    <w:rsid w:val="00DE7DC9"/>
    <w:rsid w:val="00E042C0"/>
    <w:rsid w:val="00E20B61"/>
    <w:rsid w:val="00E21737"/>
    <w:rsid w:val="00E24EFB"/>
    <w:rsid w:val="00E257BF"/>
    <w:rsid w:val="00E25FFE"/>
    <w:rsid w:val="00E345AF"/>
    <w:rsid w:val="00E571F1"/>
    <w:rsid w:val="00E667E8"/>
    <w:rsid w:val="00E73EBE"/>
    <w:rsid w:val="00E75215"/>
    <w:rsid w:val="00E77BA3"/>
    <w:rsid w:val="00E80B77"/>
    <w:rsid w:val="00E95260"/>
    <w:rsid w:val="00E97ABE"/>
    <w:rsid w:val="00EE7A99"/>
    <w:rsid w:val="00EF1B36"/>
    <w:rsid w:val="00F0351F"/>
    <w:rsid w:val="00F133CB"/>
    <w:rsid w:val="00F22EF5"/>
    <w:rsid w:val="00F329B5"/>
    <w:rsid w:val="00F773C1"/>
    <w:rsid w:val="00F90C29"/>
    <w:rsid w:val="00FD066D"/>
    <w:rsid w:val="00FD7409"/>
    <w:rsid w:val="00FE0F6D"/>
    <w:rsid w:val="00FE2C72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0002C3E"/>
  <w15:docId w15:val="{BCF34FA0-14C9-4B7F-BDE1-29D78FA6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E64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StatementLevel1">
    <w:name w:val="Statement Level 1"/>
    <w:basedOn w:val="ChecklistBasis"/>
    <w:link w:val="StatementLevel1Char"/>
    <w:rsid w:val="00510E64"/>
  </w:style>
  <w:style w:type="character" w:customStyle="1" w:styleId="StatementLevel1Char">
    <w:name w:val="Statement Level 1 Char"/>
    <w:link w:val="StatementLevel1"/>
    <w:rsid w:val="00510E64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510E64"/>
    <w:pPr>
      <w:tabs>
        <w:tab w:val="left" w:pos="720"/>
      </w:tabs>
    </w:pPr>
    <w:rPr>
      <w:b/>
    </w:rPr>
  </w:style>
  <w:style w:type="character" w:styleId="CommentReference">
    <w:name w:val="annotation reference"/>
    <w:semiHidden/>
    <w:rsid w:val="00E257BF"/>
    <w:rPr>
      <w:sz w:val="16"/>
      <w:szCs w:val="16"/>
    </w:rPr>
  </w:style>
  <w:style w:type="paragraph" w:styleId="CommentText">
    <w:name w:val="annotation text"/>
    <w:basedOn w:val="Normal"/>
    <w:semiHidden/>
    <w:rsid w:val="00E257B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57BF"/>
    <w:rPr>
      <w:b/>
      <w:bCs/>
    </w:rPr>
  </w:style>
  <w:style w:type="paragraph" w:styleId="BalloonText">
    <w:name w:val="Balloon Text"/>
    <w:basedOn w:val="Normal"/>
    <w:semiHidden/>
    <w:rsid w:val="00E257BF"/>
    <w:rPr>
      <w:rFonts w:ascii="Tahoma" w:hAnsi="Tahoma" w:cs="Tahoma"/>
      <w:sz w:val="16"/>
      <w:szCs w:val="16"/>
    </w:rPr>
  </w:style>
  <w:style w:type="paragraph" w:customStyle="1" w:styleId="SOPFooter">
    <w:name w:val="SOP Footer"/>
    <w:basedOn w:val="Normal"/>
    <w:rsid w:val="00E571F1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234213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234213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234213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234213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9526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E97A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7ABE"/>
  </w:style>
  <w:style w:type="character" w:styleId="FootnoteReference">
    <w:name w:val="footnote reference"/>
    <w:basedOn w:val="DefaultParagraphFont"/>
    <w:semiHidden/>
    <w:unhideWhenUsed/>
    <w:rsid w:val="00E97ABE"/>
    <w:rPr>
      <w:vertAlign w:val="superscript"/>
    </w:rPr>
  </w:style>
  <w:style w:type="paragraph" w:styleId="Revision">
    <w:name w:val="Revision"/>
    <w:hidden/>
    <w:uiPriority w:val="99"/>
    <w:semiHidden/>
    <w:rsid w:val="00CF21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1B88E5CE9A347A512BDF0216DC759" ma:contentTypeVersion="10" ma:contentTypeDescription="Create a new document." ma:contentTypeScope="" ma:versionID="ede2e840551ffbb291668250e2d9dc86">
  <xsd:schema xmlns:xsd="http://www.w3.org/2001/XMLSchema" xmlns:xs="http://www.w3.org/2001/XMLSchema" xmlns:p="http://schemas.microsoft.com/office/2006/metadata/properties" xmlns:ns2="cde09f36-79a3-41d6-bf0c-326b2c3be749" xmlns:ns3="2f2dc435-e672-468d-8232-f0167d80fec8" targetNamespace="http://schemas.microsoft.com/office/2006/metadata/properties" ma:root="true" ma:fieldsID="237837028ca031468566f29f7b452386" ns2:_="" ns3:_="">
    <xsd:import namespace="cde09f36-79a3-41d6-bf0c-326b2c3be749"/>
    <xsd:import namespace="2f2dc435-e672-468d-8232-f0167d80f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9f36-79a3-41d6-bf0c-326b2c3be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c435-e672-468d-8232-f0167d80f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75E88A-9D42-4E8C-8FD6-7B2A671A9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55940-4D68-4CEC-A293-6891CB41A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9f36-79a3-41d6-bf0c-326b2c3be749"/>
    <ds:schemaRef ds:uri="2f2dc435-e672-468d-8232-f0167d80f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C4FF6-D7D0-46EB-92B8-F4BA1C61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Review of Information Items</vt:lpstr>
    </vt:vector>
  </TitlesOfParts>
  <Manager>Huron Consulting Group, Inc.</Manager>
  <Company>Huron Consulting Group, Inc.</Company>
  <LinksUpToDate>false</LinksUpToDate>
  <CharactersWithSpaces>3061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Review of Information Items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Ding, Di</cp:lastModifiedBy>
  <cp:revision>8</cp:revision>
  <cp:lastPrinted>2013-10-24T15:07:00Z</cp:lastPrinted>
  <dcterms:created xsi:type="dcterms:W3CDTF">2021-12-20T21:25:00Z</dcterms:created>
  <dcterms:modified xsi:type="dcterms:W3CDTF">2022-05-26T18:15:00Z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0x010100AA11B88E5CE9A347A512BDF0216DC759</vt:lpwstr>
  </property>
</Properties>
</file>