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0323"/>
      </w:tblGrid>
      <w:tr w14:paraId="36A53776" w14:textId="77777777">
        <w:tc>
          <w:tcPr>
            <w:tcW w:w="10790" w:type="dxa"/>
            <w:gridSpan w:val="2"/>
            <w:tcBorders>
              <w:bottom w:val="single" w:sz="4" w:space="0" w:color="auto"/>
            </w:tcBorders>
          </w:tcPr>
          <w:p w14:paraId="26D78F67" w14:textId="04745696">
            <w:pPr>
              <w:pStyle w:val="ChecklistBasis"/>
            </w:pPr>
            <w:r>
              <w:t>The purpose of this worksheet is to provide support for staff who monitor attendance at convened IRB meetings. This worksheet evaluates whether the members present at the meeting comprise a quorum. IRB staff are to consult this worksheet in preparation of meetings and when monitoring attendance at convened meetings. This worksheet is to be used. It does not need to be completed or retained.</w:t>
            </w:r>
            <w:r>
              <w:rPr>
                <w:rStyle w:val="FootnoteReference"/>
              </w:rPr>
              <w:t xml:space="preserve"> </w:t>
            </w:r>
            <w:r>
              <w:rPr>
                <w:rStyle w:val="FootnoteReference"/>
              </w:rPr>
              <w:footnoteReference w:id="2"/>
            </w:r>
          </w:p>
        </w:tc>
      </w:tr>
      <w:tr w14:paraId="68B11DB1" w14:textId="77777777">
        <w:trPr>
          <w:trHeight w:hRule="exact" w:val="72"/>
        </w:trPr>
        <w:tc>
          <w:tcPr>
            <w:tcW w:w="10790" w:type="dxa"/>
            <w:gridSpan w:val="2"/>
            <w:tcBorders>
              <w:bottom w:val="single" w:sz="4" w:space="0" w:color="auto"/>
            </w:tcBorders>
            <w:shd w:val="clear" w:color="auto" w:fill="000000"/>
          </w:tcPr>
          <w:p w14:paraId="7B4D89EC" w14:textId="77777777">
            <w:pPr>
              <w:pStyle w:val="StatementLevel1"/>
            </w:pPr>
          </w:p>
        </w:tc>
      </w:tr>
      <w:tr w14:paraId="698616D5" w14:textId="77777777">
        <w:tc>
          <w:tcPr>
            <w:tcW w:w="10790" w:type="dxa"/>
            <w:gridSpan w:val="2"/>
            <w:tcBorders>
              <w:bottom w:val="single" w:sz="4" w:space="0" w:color="auto"/>
            </w:tcBorders>
          </w:tcPr>
          <w:p w14:paraId="6DCCEBFC" w14:textId="77777777">
            <w:pPr>
              <w:pStyle w:val="ChecklistLevel1"/>
            </w:pPr>
            <w:r>
              <w:t xml:space="preserve">Quorum Requirements </w:t>
            </w:r>
            <w:r>
              <w:rPr>
                <w:b w:val="0"/>
              </w:rPr>
              <w:t xml:space="preserve">(Check if </w:t>
            </w:r>
            <w:r>
              <w:t xml:space="preserve">“Yes” </w:t>
            </w:r>
            <w:r>
              <w:rPr>
                <w:b w:val="0"/>
              </w:rPr>
              <w:t>or</w:t>
            </w:r>
            <w:r>
              <w:t xml:space="preserve"> “N/A”</w:t>
            </w:r>
            <w:r>
              <w:rPr>
                <w:b w:val="0"/>
              </w:rPr>
              <w:t>. All must be checked)</w:t>
            </w:r>
          </w:p>
        </w:tc>
      </w:tr>
      <w:tr w14:paraId="48CC191C" w14:textId="77777777">
        <w:sdt>
          <w:sdtPr>
            <w:id w:val="1530762509"/>
            <w14:checkbox>
              <w14:checked w14:val="0"/>
              <w14:checkedState w14:val="2612" w14:font="MS Gothic"/>
              <w14:uncheckedState w14:val="2610" w14:font="MS Gothic"/>
            </w14:checkbox>
          </w:sdtPr>
          <w:sdtContent>
            <w:tc>
              <w:tcPr>
                <w:tcW w:w="467" w:type="dxa"/>
                <w:tcBorders>
                  <w:bottom w:val="single" w:sz="4" w:space="0" w:color="auto"/>
                </w:tcBorders>
              </w:tcPr>
              <w:p w14:paraId="5826E5FC" w14:textId="5EB4EA1B">
                <w:pPr>
                  <w:pStyle w:val="Yes-No"/>
                </w:pPr>
                <w:r>
                  <w:rPr>
                    <w:rFonts w:ascii="MS Gothic" w:eastAsia="MS Gothic" w:hAnsi="MS Gothic" w:hint="eastAsia"/>
                  </w:rPr>
                  <w:t>☐</w:t>
                </w:r>
              </w:p>
            </w:tc>
          </w:sdtContent>
        </w:sdt>
        <w:tc>
          <w:tcPr>
            <w:tcW w:w="10323" w:type="dxa"/>
            <w:tcBorders>
              <w:bottom w:val="single" w:sz="4" w:space="0" w:color="auto"/>
            </w:tcBorders>
          </w:tcPr>
          <w:p w14:paraId="6751D102" w14:textId="77777777">
            <w:pPr>
              <w:pStyle w:val="StatementLevel1"/>
            </w:pPr>
            <w:r>
              <w:t xml:space="preserve">Greater than half of the IRB members </w:t>
            </w:r>
            <w:r>
              <w:rPr>
                <w:i/>
              </w:rPr>
              <w:t>(will be/are)</w:t>
            </w:r>
            <w:r>
              <w:t xml:space="preserve"> present.</w:t>
            </w:r>
          </w:p>
        </w:tc>
      </w:tr>
      <w:tr w14:paraId="12051471" w14:textId="77777777">
        <w:sdt>
          <w:sdtPr>
            <w:id w:val="1848436702"/>
            <w14:checkbox>
              <w14:checked w14:val="0"/>
              <w14:checkedState w14:val="2612" w14:font="MS Gothic"/>
              <w14:uncheckedState w14:val="2610" w14:font="MS Gothic"/>
            </w14:checkbox>
          </w:sdtPr>
          <w:sdtContent>
            <w:tc>
              <w:tcPr>
                <w:tcW w:w="467" w:type="dxa"/>
                <w:tcBorders>
                  <w:bottom w:val="single" w:sz="4" w:space="0" w:color="auto"/>
                </w:tcBorders>
              </w:tcPr>
              <w:p w14:paraId="58EC29C7" w14:textId="37B5C4CA">
                <w:pPr>
                  <w:pStyle w:val="Yes-No"/>
                </w:pPr>
                <w:r>
                  <w:rPr>
                    <w:rFonts w:ascii="MS Gothic" w:eastAsia="MS Gothic" w:hAnsi="MS Gothic" w:hint="eastAsia"/>
                  </w:rPr>
                  <w:t>☐</w:t>
                </w:r>
              </w:p>
            </w:tc>
          </w:sdtContent>
        </w:sdt>
        <w:tc>
          <w:tcPr>
            <w:tcW w:w="10323" w:type="dxa"/>
            <w:tcBorders>
              <w:bottom w:val="single" w:sz="4" w:space="0" w:color="auto"/>
            </w:tcBorders>
          </w:tcPr>
          <w:p w14:paraId="770B92A1" w14:textId="77777777">
            <w:pPr>
              <w:pStyle w:val="StatementLevel1"/>
            </w:pPr>
            <w:r>
              <w:t xml:space="preserve">At least one member whose primary concerns are in scientific areas </w:t>
            </w:r>
            <w:r>
              <w:rPr>
                <w:i/>
              </w:rPr>
              <w:t>(will be/is)</w:t>
            </w:r>
            <w:r>
              <w:t xml:space="preserve"> present.</w:t>
            </w:r>
          </w:p>
        </w:tc>
      </w:tr>
      <w:tr w14:paraId="3E88209E" w14:textId="77777777">
        <w:sdt>
          <w:sdtPr>
            <w:id w:val="-1796674092"/>
            <w14:checkbox>
              <w14:checked w14:val="0"/>
              <w14:checkedState w14:val="2612" w14:font="MS Gothic"/>
              <w14:uncheckedState w14:val="2610" w14:font="MS Gothic"/>
            </w14:checkbox>
          </w:sdtPr>
          <w:sdtContent>
            <w:tc>
              <w:tcPr>
                <w:tcW w:w="467" w:type="dxa"/>
                <w:tcBorders>
                  <w:bottom w:val="single" w:sz="4" w:space="0" w:color="auto"/>
                </w:tcBorders>
              </w:tcPr>
              <w:p w14:paraId="67EDE088" w14:textId="1F81C4D5">
                <w:pPr>
                  <w:pStyle w:val="Yes-No"/>
                </w:pPr>
                <w:r>
                  <w:rPr>
                    <w:rFonts w:ascii="MS Gothic" w:eastAsia="MS Gothic" w:hAnsi="MS Gothic" w:hint="eastAsia"/>
                  </w:rPr>
                  <w:t>☐</w:t>
                </w:r>
              </w:p>
            </w:tc>
          </w:sdtContent>
        </w:sdt>
        <w:tc>
          <w:tcPr>
            <w:tcW w:w="10323" w:type="dxa"/>
            <w:tcBorders>
              <w:bottom w:val="single" w:sz="4" w:space="0" w:color="auto"/>
            </w:tcBorders>
          </w:tcPr>
          <w:p w14:paraId="2BCBA510" w14:textId="77777777">
            <w:pPr>
              <w:pStyle w:val="StatementLevel1"/>
            </w:pPr>
            <w:r>
              <w:t xml:space="preserve">At least one member whose primary concerns are in non-scientific areas </w:t>
            </w:r>
            <w:r>
              <w:rPr>
                <w:i/>
              </w:rPr>
              <w:t>(will be/is)</w:t>
            </w:r>
            <w:r>
              <w:t xml:space="preserve"> present.</w:t>
            </w:r>
          </w:p>
        </w:tc>
      </w:tr>
      <w:tr w14:paraId="20B29B79" w14:textId="77777777">
        <w:sdt>
          <w:sdtPr>
            <w:id w:val="1223176747"/>
            <w14:checkbox>
              <w14:checked w14:val="0"/>
              <w14:checkedState w14:val="2612" w14:font="MS Gothic"/>
              <w14:uncheckedState w14:val="2610" w14:font="MS Gothic"/>
            </w14:checkbox>
          </w:sdtPr>
          <w:sdtContent>
            <w:tc>
              <w:tcPr>
                <w:tcW w:w="467" w:type="dxa"/>
                <w:tcBorders>
                  <w:bottom w:val="single" w:sz="4" w:space="0" w:color="auto"/>
                </w:tcBorders>
              </w:tcPr>
              <w:p w14:paraId="07582405" w14:textId="7AAC1AB2">
                <w:pPr>
                  <w:pStyle w:val="Yes-No"/>
                </w:pPr>
                <w:r>
                  <w:rPr>
                    <w:rFonts w:ascii="MS Gothic" w:eastAsia="MS Gothic" w:hAnsi="MS Gothic" w:hint="eastAsia"/>
                  </w:rPr>
                  <w:t>☐</w:t>
                </w:r>
              </w:p>
            </w:tc>
          </w:sdtContent>
        </w:sdt>
        <w:tc>
          <w:tcPr>
            <w:tcW w:w="10323" w:type="dxa"/>
            <w:tcBorders>
              <w:bottom w:val="single" w:sz="4" w:space="0" w:color="auto"/>
            </w:tcBorders>
          </w:tcPr>
          <w:p w14:paraId="5B6A8664" w14:textId="77777777">
            <w:pPr>
              <w:pStyle w:val="StatementLevel1"/>
            </w:pPr>
            <w:r>
              <w:t xml:space="preserve">At least one unaffiliated member </w:t>
            </w:r>
            <w:r>
              <w:rPr>
                <w:i/>
              </w:rPr>
              <w:t>(will be/is)</w:t>
            </w:r>
            <w:r>
              <w:t xml:space="preserve"> present.</w:t>
            </w:r>
          </w:p>
        </w:tc>
      </w:tr>
      <w:tr w14:paraId="6611D780" w14:textId="77777777">
        <w:sdt>
          <w:sdtPr>
            <w:id w:val="-26804868"/>
            <w14:checkbox>
              <w14:checked w14:val="0"/>
              <w14:checkedState w14:val="2612" w14:font="MS Gothic"/>
              <w14:uncheckedState w14:val="2610" w14:font="MS Gothic"/>
            </w14:checkbox>
          </w:sdtPr>
          <w:sdtContent>
            <w:tc>
              <w:tcPr>
                <w:tcW w:w="467" w:type="dxa"/>
                <w:tcBorders>
                  <w:bottom w:val="single" w:sz="4" w:space="0" w:color="auto"/>
                </w:tcBorders>
              </w:tcPr>
              <w:p w14:paraId="7F032F12" w14:textId="54BD5C81">
                <w:pPr>
                  <w:pStyle w:val="Yes-No"/>
                </w:pPr>
                <w:r>
                  <w:rPr>
                    <w:rFonts w:ascii="MS Gothic" w:eastAsia="MS Gothic" w:hAnsi="MS Gothic" w:hint="eastAsia"/>
                  </w:rPr>
                  <w:t>☐</w:t>
                </w:r>
              </w:p>
            </w:tc>
          </w:sdtContent>
        </w:sdt>
        <w:tc>
          <w:tcPr>
            <w:tcW w:w="10323" w:type="dxa"/>
            <w:tcBorders>
              <w:bottom w:val="single" w:sz="4" w:space="0" w:color="auto"/>
            </w:tcBorders>
          </w:tcPr>
          <w:p w14:paraId="3831B5A2" w14:textId="77777777">
            <w:pPr>
              <w:pStyle w:val="StatementLevel1"/>
            </w:pPr>
            <w:r>
              <w:t xml:space="preserve">At least one member who represents the general perspective of subjects </w:t>
            </w:r>
            <w:r>
              <w:rPr>
                <w:i/>
              </w:rPr>
              <w:t>(will be/is)</w:t>
            </w:r>
            <w:r>
              <w:t xml:space="preserve"> present.</w:t>
            </w:r>
          </w:p>
        </w:tc>
      </w:tr>
      <w:tr w14:paraId="5D31507B" w14:textId="77777777">
        <w:sdt>
          <w:sdtPr>
            <w:id w:val="-157382211"/>
            <w14:checkbox>
              <w14:checked w14:val="0"/>
              <w14:checkedState w14:val="2612" w14:font="MS Gothic"/>
              <w14:uncheckedState w14:val="2610" w14:font="MS Gothic"/>
            </w14:checkbox>
          </w:sdtPr>
          <w:sdtContent>
            <w:tc>
              <w:tcPr>
                <w:tcW w:w="467" w:type="dxa"/>
                <w:tcBorders>
                  <w:bottom w:val="single" w:sz="4" w:space="0" w:color="auto"/>
                </w:tcBorders>
              </w:tcPr>
              <w:p w14:paraId="5585268F" w14:textId="3D419DE5">
                <w:pPr>
                  <w:pStyle w:val="Yes-No"/>
                </w:pPr>
                <w:r>
                  <w:rPr>
                    <w:rFonts w:ascii="MS Gothic" w:eastAsia="MS Gothic" w:hAnsi="MS Gothic" w:hint="eastAsia"/>
                  </w:rPr>
                  <w:t>☐</w:t>
                </w:r>
              </w:p>
            </w:tc>
          </w:sdtContent>
        </w:sdt>
        <w:tc>
          <w:tcPr>
            <w:tcW w:w="10323" w:type="dxa"/>
            <w:tcBorders>
              <w:bottom w:val="single" w:sz="4" w:space="0" w:color="auto"/>
            </w:tcBorders>
          </w:tcPr>
          <w:p w14:paraId="70252CB7" w14:textId="3CE4AFA6">
            <w:pPr>
              <w:pStyle w:val="StatementLevel1"/>
            </w:pPr>
            <w:r>
              <w:t xml:space="preserve">If both an alternate IRB member and the regular IRB member for whom the alternate IRB member </w:t>
            </w:r>
            <w:r>
              <w:rPr>
                <w:i/>
              </w:rPr>
              <w:t>(will be/is)</w:t>
            </w:r>
            <w:r>
              <w:t xml:space="preserve"> substituting (</w:t>
            </w:r>
            <w:r>
              <w:rPr>
                <w:i/>
                <w:iCs/>
              </w:rPr>
              <w:t>will be/are</w:t>
            </w:r>
            <w:r>
              <w:t xml:space="preserve">) present, only one </w:t>
            </w:r>
            <w:r>
              <w:rPr>
                <w:i/>
              </w:rPr>
              <w:t>(will be/is)</w:t>
            </w:r>
            <w:r>
              <w:t xml:space="preserve"> voting and only one </w:t>
            </w:r>
            <w:r>
              <w:rPr>
                <w:i/>
              </w:rPr>
              <w:t>(will be/is)</w:t>
            </w:r>
            <w:r>
              <w:t xml:space="preserve"> counting towards quorum. </w:t>
            </w:r>
            <w:r>
              <w:rPr>
                <w:b/>
              </w:rPr>
              <w:t xml:space="preserve">(“N/A” if both an alternate IRB member and the regular IRB member for whom the alternate IRB member </w:t>
            </w:r>
            <w:r>
              <w:rPr>
                <w:b/>
                <w:i/>
              </w:rPr>
              <w:t>(will be/is)</w:t>
            </w:r>
            <w:r>
              <w:rPr>
                <w:b/>
              </w:rPr>
              <w:t xml:space="preserve"> substituting (</w:t>
            </w:r>
            <w:r>
              <w:rPr>
                <w:b/>
                <w:i/>
                <w:iCs/>
              </w:rPr>
              <w:t>will NOT be/are NOT</w:t>
            </w:r>
            <w:r>
              <w:rPr>
                <w:b/>
              </w:rPr>
              <w:t xml:space="preserve">) present) N/A: </w:t>
            </w:r>
            <w:sdt>
              <w:sdtPr>
                <w:rPr>
                  <w:b/>
                </w:rPr>
                <w:id w:val="1081952434"/>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14:paraId="28E2E374" w14:textId="77777777">
        <w:sdt>
          <w:sdtPr>
            <w:id w:val="-534113765"/>
            <w14:checkbox>
              <w14:checked w14:val="0"/>
              <w14:checkedState w14:val="2612" w14:font="MS Gothic"/>
              <w14:uncheckedState w14:val="2610" w14:font="MS Gothic"/>
            </w14:checkbox>
          </w:sdtPr>
          <w:sdtContent>
            <w:tc>
              <w:tcPr>
                <w:tcW w:w="467" w:type="dxa"/>
                <w:tcBorders>
                  <w:bottom w:val="single" w:sz="4" w:space="0" w:color="auto"/>
                </w:tcBorders>
              </w:tcPr>
              <w:p w14:paraId="3DF4D5C9" w14:textId="77777777">
                <w:pPr>
                  <w:pStyle w:val="Yes-No"/>
                </w:pPr>
                <w:r>
                  <w:rPr>
                    <w:rFonts w:ascii="MS Gothic" w:eastAsia="MS Gothic" w:hAnsi="MS Gothic" w:hint="eastAsia"/>
                  </w:rPr>
                  <w:t>☐</w:t>
                </w:r>
              </w:p>
            </w:tc>
          </w:sdtContent>
        </w:sdt>
        <w:tc>
          <w:tcPr>
            <w:tcW w:w="10323" w:type="dxa"/>
            <w:tcBorders>
              <w:bottom w:val="single" w:sz="4" w:space="0" w:color="auto"/>
            </w:tcBorders>
          </w:tcPr>
          <w:p w14:paraId="74BA4480" w14:textId="77777777">
            <w:pPr>
              <w:pStyle w:val="StatementLevel1"/>
            </w:pPr>
            <w:proofErr w:type="gramStart"/>
            <w:r>
              <w:t>In order for</w:t>
            </w:r>
            <w:proofErr w:type="gramEnd"/>
            <w:r>
              <w:t xml:space="preserve"> a DOE IRB to vote on a new or amended protocol that requires full board review, there must be a minimum of five members present, including a scientist, a nonscientist, and an unaffiliated member. For classified research, the unaffiliated member must be a nongovernmental member with the appropriate security clearance. This individual cannot be a current Federal employee or a DOE site contractor. </w:t>
            </w:r>
            <w:r>
              <w:rPr>
                <w:b/>
              </w:rPr>
              <w:t xml:space="preserve">(“N/A” if DOE regulations do not apply) N/A: </w:t>
            </w:r>
            <w:sdt>
              <w:sdtPr>
                <w:rPr>
                  <w:b/>
                </w:rPr>
                <w:id w:val="-1371149352"/>
                <w14:checkbox>
                  <w14:checked w14:val="0"/>
                  <w14:checkedState w14:val="2612" w14:font="MS Gothic"/>
                  <w14:uncheckedState w14:val="2610" w14:font="MS Gothic"/>
                </w14:checkbox>
              </w:sdtPr>
              <w:sdtContent>
                <w:r>
                  <w:rPr>
                    <w:rFonts w:ascii="MS Gothic" w:eastAsia="MS Gothic" w:hAnsi="MS Gothic"/>
                    <w:b/>
                  </w:rPr>
                  <w:t>☐</w:t>
                </w:r>
              </w:sdtContent>
            </w:sdt>
          </w:p>
        </w:tc>
      </w:tr>
      <w:tr w14:paraId="5EA25697" w14:textId="77777777">
        <w:trPr>
          <w:trHeight w:hRule="exact" w:val="72"/>
        </w:trPr>
        <w:tc>
          <w:tcPr>
            <w:tcW w:w="10790" w:type="dxa"/>
            <w:gridSpan w:val="2"/>
            <w:tcBorders>
              <w:bottom w:val="single" w:sz="4" w:space="0" w:color="auto"/>
            </w:tcBorders>
            <w:shd w:val="clear" w:color="auto" w:fill="000000"/>
          </w:tcPr>
          <w:p w14:paraId="47E95D05" w14:textId="77777777">
            <w:pPr>
              <w:pStyle w:val="StatementLevel1"/>
            </w:pPr>
          </w:p>
        </w:tc>
      </w:tr>
      <w:tr w14:paraId="0F397263" w14:textId="77777777">
        <w:tc>
          <w:tcPr>
            <w:tcW w:w="10790" w:type="dxa"/>
            <w:gridSpan w:val="2"/>
            <w:tcBorders>
              <w:bottom w:val="single" w:sz="4" w:space="0" w:color="auto"/>
            </w:tcBorders>
          </w:tcPr>
          <w:p w14:paraId="14E0CD87" w14:textId="77777777">
            <w:pPr>
              <w:pStyle w:val="ChecklistLevel1"/>
            </w:pPr>
            <w:r>
              <w:t xml:space="preserve">Expertise Requirements </w:t>
            </w:r>
            <w:r>
              <w:rPr>
                <w:b w:val="0"/>
              </w:rPr>
              <w:t xml:space="preserve">(Check if </w:t>
            </w:r>
            <w:r>
              <w:t xml:space="preserve">“Yes” </w:t>
            </w:r>
            <w:r>
              <w:rPr>
                <w:b w:val="0"/>
              </w:rPr>
              <w:t>or</w:t>
            </w:r>
            <w:r>
              <w:t xml:space="preserve"> “N/A”</w:t>
            </w:r>
            <w:r>
              <w:rPr>
                <w:b w:val="0"/>
              </w:rPr>
              <w:t>. All must be checked)</w:t>
            </w:r>
          </w:p>
        </w:tc>
      </w:tr>
      <w:tr w14:paraId="68049699" w14:textId="77777777">
        <w:sdt>
          <w:sdtPr>
            <w:id w:val="1909497725"/>
            <w14:checkbox>
              <w14:checked w14:val="0"/>
              <w14:checkedState w14:val="2612" w14:font="MS Gothic"/>
              <w14:uncheckedState w14:val="2610" w14:font="MS Gothic"/>
            </w14:checkbox>
          </w:sdtPr>
          <w:sdtContent>
            <w:tc>
              <w:tcPr>
                <w:tcW w:w="467" w:type="dxa"/>
                <w:tcBorders>
                  <w:bottom w:val="single" w:sz="4" w:space="0" w:color="auto"/>
                </w:tcBorders>
              </w:tcPr>
              <w:p w14:paraId="29E5F83D" w14:textId="3C234CAB">
                <w:pPr>
                  <w:pStyle w:val="Yes-No"/>
                </w:pPr>
                <w:r>
                  <w:rPr>
                    <w:rFonts w:ascii="MS Gothic" w:eastAsia="MS Gothic" w:hAnsi="MS Gothic" w:hint="eastAsia"/>
                  </w:rPr>
                  <w:t>☐</w:t>
                </w:r>
              </w:p>
            </w:tc>
          </w:sdtContent>
        </w:sdt>
        <w:tc>
          <w:tcPr>
            <w:tcW w:w="10323" w:type="dxa"/>
            <w:tcBorders>
              <w:bottom w:val="single" w:sz="4" w:space="0" w:color="auto"/>
            </w:tcBorders>
          </w:tcPr>
          <w:p w14:paraId="7670FF71" w14:textId="77777777">
            <w:pPr>
              <w:pStyle w:val="StatementLevel1"/>
            </w:pPr>
            <w:r>
              <w:t xml:space="preserve">At least one member or consultant with scientific or scholarly expertise </w:t>
            </w:r>
            <w:proofErr w:type="gramStart"/>
            <w:r>
              <w:t>in the area of</w:t>
            </w:r>
            <w:proofErr w:type="gramEnd"/>
            <w:r>
              <w:t xml:space="preserve"> research </w:t>
            </w:r>
            <w:r>
              <w:rPr>
                <w:i/>
              </w:rPr>
              <w:t>(will be/is/was)</w:t>
            </w:r>
            <w:r>
              <w:t xml:space="preserve"> involved in the review.</w:t>
            </w:r>
          </w:p>
        </w:tc>
      </w:tr>
      <w:tr w14:paraId="35AA7486" w14:textId="77777777">
        <w:sdt>
          <w:sdtPr>
            <w:id w:val="-418172165"/>
            <w14:checkbox>
              <w14:checked w14:val="0"/>
              <w14:checkedState w14:val="2612" w14:font="MS Gothic"/>
              <w14:uncheckedState w14:val="2610" w14:font="MS Gothic"/>
            </w14:checkbox>
          </w:sdtPr>
          <w:sdtContent>
            <w:tc>
              <w:tcPr>
                <w:tcW w:w="467" w:type="dxa"/>
                <w:tcBorders>
                  <w:bottom w:val="single" w:sz="4" w:space="0" w:color="auto"/>
                </w:tcBorders>
              </w:tcPr>
              <w:p w14:paraId="131251DD" w14:textId="013CFDD8">
                <w:pPr>
                  <w:pStyle w:val="Yes-No"/>
                </w:pPr>
                <w:r>
                  <w:rPr>
                    <w:rFonts w:ascii="MS Gothic" w:eastAsia="MS Gothic" w:hAnsi="MS Gothic" w:hint="eastAsia"/>
                  </w:rPr>
                  <w:t>☐</w:t>
                </w:r>
              </w:p>
            </w:tc>
          </w:sdtContent>
        </w:sdt>
        <w:tc>
          <w:tcPr>
            <w:tcW w:w="10323" w:type="dxa"/>
            <w:tcBorders>
              <w:bottom w:val="single" w:sz="4" w:space="0" w:color="auto"/>
            </w:tcBorders>
          </w:tcPr>
          <w:p w14:paraId="40DB3C70" w14:textId="77777777">
            <w:pPr>
              <w:pStyle w:val="StatementLevel1"/>
            </w:pPr>
            <w:r>
              <w:t xml:space="preserve">At least one member or consultant with knowledge of the local context </w:t>
            </w:r>
            <w:r>
              <w:rPr>
                <w:i/>
              </w:rPr>
              <w:t>(will be/is)</w:t>
            </w:r>
            <w:r>
              <w:t xml:space="preserve"> involved in the review.</w:t>
            </w:r>
          </w:p>
        </w:tc>
      </w:tr>
      <w:tr w14:paraId="7DF8EC74" w14:textId="77777777">
        <w:sdt>
          <w:sdtPr>
            <w:id w:val="-1454245559"/>
            <w14:checkbox>
              <w14:checked w14:val="0"/>
              <w14:checkedState w14:val="2612" w14:font="MS Gothic"/>
              <w14:uncheckedState w14:val="2610" w14:font="MS Gothic"/>
            </w14:checkbox>
          </w:sdtPr>
          <w:sdtContent>
            <w:tc>
              <w:tcPr>
                <w:tcW w:w="467" w:type="dxa"/>
                <w:tcBorders>
                  <w:bottom w:val="single" w:sz="4" w:space="0" w:color="auto"/>
                </w:tcBorders>
              </w:tcPr>
              <w:p w14:paraId="6744F85E" w14:textId="24FEF573">
                <w:pPr>
                  <w:pStyle w:val="Yes-No"/>
                </w:pPr>
                <w:r>
                  <w:rPr>
                    <w:rFonts w:ascii="MS Gothic" w:eastAsia="MS Gothic" w:hAnsi="MS Gothic" w:hint="eastAsia"/>
                  </w:rPr>
                  <w:t>☐</w:t>
                </w:r>
              </w:p>
            </w:tc>
          </w:sdtContent>
        </w:sdt>
        <w:tc>
          <w:tcPr>
            <w:tcW w:w="10323" w:type="dxa"/>
            <w:tcBorders>
              <w:bottom w:val="single" w:sz="4" w:space="0" w:color="auto"/>
            </w:tcBorders>
          </w:tcPr>
          <w:p w14:paraId="5BF9171F" w14:textId="77777777">
            <w:pPr>
              <w:pStyle w:val="StatementLevel1"/>
            </w:pPr>
            <w:r>
              <w:t>At least one member or consultant able to ascertain the acceptability of proposed research in terms of institutional commitments (including policies and resources) and regulations, applicable law, and standards of professional conduct and practice.</w:t>
            </w:r>
          </w:p>
        </w:tc>
      </w:tr>
      <w:tr w14:paraId="59E76FA8" w14:textId="77777777">
        <w:sdt>
          <w:sdtPr>
            <w:id w:val="198360794"/>
            <w14:checkbox>
              <w14:checked w14:val="0"/>
              <w14:checkedState w14:val="2612" w14:font="MS Gothic"/>
              <w14:uncheckedState w14:val="2610" w14:font="MS Gothic"/>
            </w14:checkbox>
          </w:sdtPr>
          <w:sdtContent>
            <w:tc>
              <w:tcPr>
                <w:tcW w:w="467" w:type="dxa"/>
                <w:tcBorders>
                  <w:bottom w:val="single" w:sz="4" w:space="0" w:color="auto"/>
                </w:tcBorders>
              </w:tcPr>
              <w:p w14:paraId="5194296E" w14:textId="0C49716A">
                <w:pPr>
                  <w:pStyle w:val="Yes-No"/>
                </w:pPr>
                <w:r>
                  <w:rPr>
                    <w:rFonts w:ascii="MS Gothic" w:eastAsia="MS Gothic" w:hAnsi="MS Gothic" w:hint="eastAsia"/>
                  </w:rPr>
                  <w:t>☐</w:t>
                </w:r>
              </w:p>
            </w:tc>
          </w:sdtContent>
        </w:sdt>
        <w:tc>
          <w:tcPr>
            <w:tcW w:w="10323" w:type="dxa"/>
            <w:tcBorders>
              <w:bottom w:val="single" w:sz="4" w:space="0" w:color="auto"/>
            </w:tcBorders>
          </w:tcPr>
          <w:p w14:paraId="3C065493" w14:textId="3C2FE2B7">
            <w:pPr>
              <w:pStyle w:val="StatementLevel1"/>
            </w:pPr>
            <w:r>
              <w:t xml:space="preserve">When the research involves </w:t>
            </w:r>
            <w:r>
              <w:rPr>
                <w:u w:val="double"/>
              </w:rPr>
              <w:t>Prisoners</w:t>
            </w:r>
            <w:r>
              <w:t xml:space="preserve"> as subjects: An IRB member who is a </w:t>
            </w:r>
            <w:r>
              <w:rPr>
                <w:u w:val="double"/>
              </w:rPr>
              <w:t>Prisoner</w:t>
            </w:r>
            <w:r>
              <w:t xml:space="preserve"> or a </w:t>
            </w:r>
            <w:r>
              <w:rPr>
                <w:u w:val="double"/>
              </w:rPr>
              <w:t>Prisoner</w:t>
            </w:r>
            <w:r>
              <w:t xml:space="preserve"> representative with appropriate background and experience to serve in that capacity </w:t>
            </w:r>
            <w:r>
              <w:rPr>
                <w:i/>
              </w:rPr>
              <w:t>(will be/is)</w:t>
            </w:r>
            <w:r>
              <w:t xml:space="preserve"> involved in the review as a voting member. The </w:t>
            </w:r>
            <w:r>
              <w:rPr>
                <w:u w:val="double"/>
              </w:rPr>
              <w:t>Prisoner</w:t>
            </w:r>
            <w:r>
              <w:t xml:space="preserve"> representative may attend the meeting by phone, </w:t>
            </w:r>
            <w:proofErr w:type="gramStart"/>
            <w:r>
              <w:t>video-conference</w:t>
            </w:r>
            <w:proofErr w:type="gramEnd"/>
            <w:r>
              <w:t>, or Webinar, as long as the representative is able to participate in the meeting as if they were present in person.</w:t>
            </w:r>
            <w:r>
              <w:rPr>
                <w:b/>
              </w:rPr>
              <w:t xml:space="preserve"> (“N/A” if no </w:t>
            </w:r>
            <w:r>
              <w:rPr>
                <w:b/>
                <w:u w:val="double"/>
              </w:rPr>
              <w:t>Prisoners</w:t>
            </w:r>
            <w:r>
              <w:rPr>
                <w:b/>
              </w:rPr>
              <w:t xml:space="preserve">.) N/A: </w:t>
            </w:r>
            <w:sdt>
              <w:sdtPr>
                <w:rPr>
                  <w:b/>
                </w:rPr>
                <w:id w:val="563838301"/>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14:paraId="03543200" w14:textId="77777777">
        <w:sdt>
          <w:sdtPr>
            <w:id w:val="236527501"/>
            <w14:checkbox>
              <w14:checked w14:val="0"/>
              <w14:checkedState w14:val="2612" w14:font="MS Gothic"/>
              <w14:uncheckedState w14:val="2610" w14:font="MS Gothic"/>
            </w14:checkbox>
          </w:sdtPr>
          <w:sdtContent>
            <w:tc>
              <w:tcPr>
                <w:tcW w:w="467" w:type="dxa"/>
                <w:tcBorders>
                  <w:bottom w:val="single" w:sz="4" w:space="0" w:color="auto"/>
                </w:tcBorders>
              </w:tcPr>
              <w:p w14:paraId="1EB35B39" w14:textId="3ED29321">
                <w:pPr>
                  <w:pStyle w:val="Yes-No"/>
                </w:pPr>
                <w:r>
                  <w:rPr>
                    <w:rFonts w:ascii="MS Gothic" w:eastAsia="MS Gothic" w:hAnsi="MS Gothic" w:hint="eastAsia"/>
                  </w:rPr>
                  <w:t>☐</w:t>
                </w:r>
              </w:p>
            </w:tc>
          </w:sdtContent>
        </w:sdt>
        <w:tc>
          <w:tcPr>
            <w:tcW w:w="10323" w:type="dxa"/>
            <w:tcBorders>
              <w:bottom w:val="single" w:sz="4" w:space="0" w:color="auto"/>
            </w:tcBorders>
          </w:tcPr>
          <w:p w14:paraId="61BF4F5B" w14:textId="035B49CF">
            <w:pPr>
              <w:pStyle w:val="StatementLevel1"/>
            </w:pPr>
            <w:r>
              <w:t xml:space="preserve">When the research involves a drug or device: An IRB member who is a licensed physician </w:t>
            </w:r>
            <w:r>
              <w:rPr>
                <w:i/>
              </w:rPr>
              <w:t>(will be/is)</w:t>
            </w:r>
            <w:r>
              <w:t xml:space="preserve"> involved in the review. </w:t>
            </w:r>
            <w:r>
              <w:rPr>
                <w:b/>
              </w:rPr>
              <w:t xml:space="preserve">(“N/A” if no drugs or devices.)  N/A: </w:t>
            </w:r>
            <w:sdt>
              <w:sdtPr>
                <w:rPr>
                  <w:b/>
                </w:rPr>
                <w:id w:val="-1342155045"/>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14:paraId="4B28B7C6" w14:textId="77777777">
        <w:sdt>
          <w:sdtPr>
            <w:id w:val="-1385407453"/>
            <w14:checkbox>
              <w14:checked w14:val="0"/>
              <w14:checkedState w14:val="2612" w14:font="MS Gothic"/>
              <w14:uncheckedState w14:val="2610" w14:font="MS Gothic"/>
            </w14:checkbox>
          </w:sdtPr>
          <w:sdtContent>
            <w:tc>
              <w:tcPr>
                <w:tcW w:w="467" w:type="dxa"/>
              </w:tcPr>
              <w:p w14:paraId="500ED89B" w14:textId="68D55643">
                <w:pPr>
                  <w:pStyle w:val="Yes-No"/>
                </w:pPr>
                <w:r>
                  <w:rPr>
                    <w:rFonts w:ascii="MS Gothic" w:eastAsia="MS Gothic" w:hAnsi="MS Gothic" w:hint="eastAsia"/>
                  </w:rPr>
                  <w:t>☐</w:t>
                </w:r>
              </w:p>
            </w:tc>
          </w:sdtContent>
        </w:sdt>
        <w:tc>
          <w:tcPr>
            <w:tcW w:w="10323" w:type="dxa"/>
          </w:tcPr>
          <w:p w14:paraId="64988B66" w14:textId="471FCFEF">
            <w:pPr>
              <w:pStyle w:val="StatementLevel1"/>
            </w:pPr>
            <w:r>
              <w:t xml:space="preserve">When the research involves populations vulnerable to coercion or undue influence: An IRB member or consultant who is knowledgeable about or experienced in working with such subjects </w:t>
            </w:r>
            <w:r>
              <w:rPr>
                <w:i/>
              </w:rPr>
              <w:t>(will be/is)</w:t>
            </w:r>
            <w:r>
              <w:t xml:space="preserve"> involved in the review.</w:t>
            </w:r>
            <w:r>
              <w:rPr>
                <w:rStyle w:val="EndnoteReference"/>
              </w:rPr>
              <w:endnoteReference w:id="2"/>
            </w:r>
            <w:r>
              <w:t xml:space="preserve"> </w:t>
            </w:r>
            <w:r>
              <w:rPr>
                <w:b/>
              </w:rPr>
              <w:t xml:space="preserve">(“N/A” if no populations vulnerable to coercion or undue influence.)  N/A: </w:t>
            </w:r>
            <w:sdt>
              <w:sdtPr>
                <w:rPr>
                  <w:b/>
                </w:rPr>
                <w:id w:val="1503317080"/>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14:paraId="7B3DC85A" w14:textId="77777777">
        <w:sdt>
          <w:sdtPr>
            <w:id w:val="-205343198"/>
            <w14:checkbox>
              <w14:checked w14:val="0"/>
              <w14:checkedState w14:val="2612" w14:font="MS Gothic"/>
              <w14:uncheckedState w14:val="2610" w14:font="MS Gothic"/>
            </w14:checkbox>
          </w:sdtPr>
          <w:sdtContent>
            <w:tc>
              <w:tcPr>
                <w:tcW w:w="467" w:type="dxa"/>
              </w:tcPr>
              <w:p w14:paraId="741EFA19" w14:textId="1734114A">
                <w:pPr>
                  <w:pStyle w:val="Yes-No"/>
                </w:pPr>
                <w:r>
                  <w:rPr>
                    <w:rFonts w:ascii="MS Gothic" w:eastAsia="MS Gothic" w:hAnsi="MS Gothic" w:hint="eastAsia"/>
                  </w:rPr>
                  <w:t>☐</w:t>
                </w:r>
              </w:p>
            </w:tc>
          </w:sdtContent>
        </w:sdt>
        <w:tc>
          <w:tcPr>
            <w:tcW w:w="10323" w:type="dxa"/>
          </w:tcPr>
          <w:p w14:paraId="636D82BF" w14:textId="76D0017D">
            <w:pPr>
              <w:pStyle w:val="StatementLevel1"/>
            </w:pPr>
            <w:r>
              <w:t xml:space="preserve">When the research involves other specific expertise: An IRB member or consultant who has that expertise (professional competence) </w:t>
            </w:r>
            <w:r>
              <w:rPr>
                <w:i/>
              </w:rPr>
              <w:t>(will be/is)</w:t>
            </w:r>
            <w:r>
              <w:t xml:space="preserve"> involved in the review. </w:t>
            </w:r>
            <w:r>
              <w:rPr>
                <w:b/>
              </w:rPr>
              <w:t xml:space="preserve">(“N/A” if no specific expertise needed.)  N/A: </w:t>
            </w:r>
            <w:sdt>
              <w:sdtPr>
                <w:rPr>
                  <w:b/>
                </w:rPr>
                <w:id w:val="-1320114962"/>
                <w14:checkbox>
                  <w14:checked w14:val="0"/>
                  <w14:checkedState w14:val="2612" w14:font="MS Gothic"/>
                  <w14:uncheckedState w14:val="2610" w14:font="MS Gothic"/>
                </w14:checkbox>
              </w:sdtPr>
              <w:sdtContent>
                <w:r>
                  <w:rPr>
                    <w:rFonts w:ascii="MS Gothic" w:eastAsia="MS Gothic" w:hAnsi="MS Gothic" w:hint="eastAsia"/>
                    <w:b/>
                  </w:rPr>
                  <w:t>☐</w:t>
                </w:r>
              </w:sdtContent>
            </w:sdt>
          </w:p>
        </w:tc>
      </w:tr>
      <w:tr w14:paraId="6C839FC7" w14:textId="77777777">
        <w:sdt>
          <w:sdtPr>
            <w:id w:val="-601649979"/>
            <w14:checkbox>
              <w14:checked w14:val="0"/>
              <w14:checkedState w14:val="2612" w14:font="MS Gothic"/>
              <w14:uncheckedState w14:val="2610" w14:font="MS Gothic"/>
            </w14:checkbox>
          </w:sdtPr>
          <w:sdtContent>
            <w:tc>
              <w:tcPr>
                <w:tcW w:w="467" w:type="dxa"/>
              </w:tcPr>
              <w:p w14:paraId="1D2BE3E3" w14:textId="5788414D">
                <w:pPr>
                  <w:pStyle w:val="Yes-No"/>
                </w:pPr>
                <w:r>
                  <w:rPr>
                    <w:rFonts w:ascii="MS Gothic" w:eastAsia="MS Gothic" w:hAnsi="MS Gothic" w:hint="eastAsia"/>
                  </w:rPr>
                  <w:t>☐</w:t>
                </w:r>
              </w:p>
            </w:tc>
          </w:sdtContent>
        </w:sdt>
        <w:tc>
          <w:tcPr>
            <w:tcW w:w="10323" w:type="dxa"/>
          </w:tcPr>
          <w:p w14:paraId="37D23DA1" w14:textId="0056C32C">
            <w:pPr>
              <w:pStyle w:val="StatementLevel1"/>
            </w:pPr>
            <w:r>
              <w:t xml:space="preserve">For international research the IRB has knowledge of local laws and the cultural context of the country where research is going to be conducted Including: (Can be through consultation with a local IRB, government agency, or other qualified consultant.) </w:t>
            </w:r>
            <w:r>
              <w:rPr>
                <w:b/>
              </w:rPr>
              <w:t xml:space="preserve">(“N/A” if not international research.)  N/A: </w:t>
            </w:r>
            <w:sdt>
              <w:sdtPr>
                <w:rPr>
                  <w:b/>
                </w:rPr>
                <w:id w:val="-882551148"/>
                <w14:checkbox>
                  <w14:checked w14:val="0"/>
                  <w14:checkedState w14:val="2612" w14:font="MS Gothic"/>
                  <w14:uncheckedState w14:val="2610" w14:font="MS Gothic"/>
                </w14:checkbox>
              </w:sdtPr>
              <w:sdtContent>
                <w:r>
                  <w:rPr>
                    <w:rFonts w:ascii="MS Gothic" w:eastAsia="MS Gothic" w:hAnsi="MS Gothic" w:hint="eastAsia"/>
                    <w:b/>
                  </w:rPr>
                  <w:t>☐</w:t>
                </w:r>
              </w:sdtContent>
            </w:sdt>
          </w:p>
          <w:p w14:paraId="17930BE1" w14:textId="77777777">
            <w:pPr>
              <w:pStyle w:val="StatementLevel1"/>
              <w:numPr>
                <w:ilvl w:val="0"/>
                <w:numId w:val="26"/>
              </w:numPr>
              <w:ind w:left="240" w:hanging="240"/>
            </w:pPr>
            <w:r>
              <w:t>Appropriate expertise and knowledge of the country(</w:t>
            </w:r>
            <w:proofErr w:type="spellStart"/>
            <w:r>
              <w:t>ies</w:t>
            </w:r>
            <w:proofErr w:type="spellEnd"/>
            <w:r>
              <w:t>) either through IRB members or consultants.</w:t>
            </w:r>
          </w:p>
          <w:p w14:paraId="7F3B67AA" w14:textId="77777777">
            <w:pPr>
              <w:pStyle w:val="StatementLevel1"/>
              <w:numPr>
                <w:ilvl w:val="0"/>
                <w:numId w:val="26"/>
              </w:numPr>
              <w:ind w:left="240" w:hanging="240"/>
            </w:pPr>
            <w:r>
              <w:t>Knowledge of cultural context.</w:t>
            </w:r>
          </w:p>
          <w:p w14:paraId="2504D60D" w14:textId="77777777">
            <w:pPr>
              <w:pStyle w:val="StatementLevel1"/>
              <w:numPr>
                <w:ilvl w:val="0"/>
                <w:numId w:val="26"/>
              </w:numPr>
              <w:ind w:left="240" w:hanging="240"/>
            </w:pPr>
            <w:r>
              <w:t>Application of the same processes for initial review, continuing review, and review of modifications to previously approved research; post-approval monitoring; handling of complaints, non-compliance, and unanticipated problems involving risk to subjects or others; and consent process and document and other language issues as applied to domestic research.</w:t>
            </w:r>
          </w:p>
          <w:p w14:paraId="45947CC6" w14:textId="77777777">
            <w:pPr>
              <w:pStyle w:val="StatementLevel1"/>
              <w:numPr>
                <w:ilvl w:val="0"/>
                <w:numId w:val="26"/>
              </w:numPr>
              <w:ind w:left="240" w:hanging="240"/>
            </w:pPr>
            <w:r>
              <w:t>Coordination and communication with local IRBs or ECs when appropriate.</w:t>
            </w:r>
          </w:p>
        </w:tc>
      </w:tr>
      <w:tr w14:paraId="513E88BD" w14:textId="77777777">
        <w:sdt>
          <w:sdtPr>
            <w:id w:val="-903063413"/>
            <w14:checkbox>
              <w14:checked w14:val="0"/>
              <w14:checkedState w14:val="2612" w14:font="MS Gothic"/>
              <w14:uncheckedState w14:val="2610" w14:font="MS Gothic"/>
            </w14:checkbox>
          </w:sdtPr>
          <w:sdtContent>
            <w:tc>
              <w:tcPr>
                <w:tcW w:w="467" w:type="dxa"/>
                <w:tcBorders>
                  <w:bottom w:val="single" w:sz="4" w:space="0" w:color="auto"/>
                </w:tcBorders>
              </w:tcPr>
              <w:p w14:paraId="10958C0F" w14:textId="3AB17184">
                <w:pPr>
                  <w:pStyle w:val="Yes-No"/>
                </w:pPr>
                <w:r>
                  <w:rPr>
                    <w:rFonts w:ascii="MS Gothic" w:eastAsia="MS Gothic" w:hAnsi="MS Gothic" w:hint="eastAsia"/>
                  </w:rPr>
                  <w:t>☐</w:t>
                </w:r>
              </w:p>
            </w:tc>
          </w:sdtContent>
        </w:sdt>
        <w:tc>
          <w:tcPr>
            <w:tcW w:w="10323" w:type="dxa"/>
            <w:tcBorders>
              <w:bottom w:val="single" w:sz="4" w:space="0" w:color="auto"/>
            </w:tcBorders>
          </w:tcPr>
          <w:p w14:paraId="542ACB2D" w14:textId="4B451FCA">
            <w:pPr>
              <w:pStyle w:val="StatementLevel1"/>
            </w:pPr>
            <w:r>
              <w:t xml:space="preserve">For community-based participatory research the IRB has done one of the following: </w:t>
            </w:r>
            <w:r>
              <w:rPr>
                <w:b/>
              </w:rPr>
              <w:t xml:space="preserve">(“N/A” if not community-based participatory research.)  N/A: </w:t>
            </w:r>
            <w:sdt>
              <w:sdtPr>
                <w:rPr>
                  <w:b/>
                </w:rPr>
                <w:id w:val="-1046601205"/>
                <w14:checkbox>
                  <w14:checked w14:val="0"/>
                  <w14:checkedState w14:val="2612" w14:font="MS Gothic"/>
                  <w14:uncheckedState w14:val="2610" w14:font="MS Gothic"/>
                </w14:checkbox>
              </w:sdtPr>
              <w:sdtContent>
                <w:r>
                  <w:rPr>
                    <w:rFonts w:ascii="MS Gothic" w:eastAsia="MS Gothic" w:hAnsi="MS Gothic" w:hint="eastAsia"/>
                    <w:b/>
                  </w:rPr>
                  <w:t>☐</w:t>
                </w:r>
              </w:sdtContent>
            </w:sdt>
          </w:p>
          <w:p w14:paraId="08C1723D" w14:textId="77777777">
            <w:pPr>
              <w:pStyle w:val="StatementLevel1"/>
              <w:numPr>
                <w:ilvl w:val="0"/>
                <w:numId w:val="27"/>
              </w:numPr>
              <w:ind w:left="252" w:hanging="252"/>
            </w:pPr>
            <w:r>
              <w:t>Educated IRB members on community-based participatory research.</w:t>
            </w:r>
          </w:p>
          <w:p w14:paraId="00484F6D" w14:textId="39625F58">
            <w:pPr>
              <w:pStyle w:val="StatementLevel1"/>
              <w:numPr>
                <w:ilvl w:val="0"/>
                <w:numId w:val="27"/>
              </w:numPr>
              <w:ind w:left="252" w:hanging="252"/>
            </w:pPr>
            <w:r>
              <w:t>Included IRB members with expertise in community-based participatory research.</w:t>
            </w:r>
          </w:p>
          <w:p w14:paraId="711BC417" w14:textId="0DF09760">
            <w:pPr>
              <w:pStyle w:val="StatementLevel1"/>
              <w:numPr>
                <w:ilvl w:val="0"/>
                <w:numId w:val="27"/>
              </w:numPr>
              <w:ind w:left="252" w:hanging="252"/>
            </w:pPr>
            <w:r>
              <w:t>Obtained consultation with expertise in community-based participatory research.</w:t>
            </w:r>
          </w:p>
        </w:tc>
      </w:tr>
    </w:tbl>
    <w:p w14:paraId="67108F8D" w14:textId="77777777">
      <w:pPr>
        <w:rPr>
          <w:sz w:val="2"/>
          <w:szCs w:val="2"/>
        </w:rPr>
      </w:pPr>
    </w:p>
    <w:sectPr>
      <w:headerReference w:type="default" r:id="rId11"/>
      <w:footerReference w:type="default" r:id="rId12"/>
      <w:pgSz w:w="12240" w:h="15840"/>
      <w:pgMar w:top="720" w:right="720" w:bottom="720" w:left="720" w:header="720" w:footer="5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93A76" w14:textId="77777777">
      <w:r>
        <w:separator/>
      </w:r>
    </w:p>
  </w:endnote>
  <w:endnote w:type="continuationSeparator" w:id="0">
    <w:p w14:paraId="7817A53C" w14:textId="77777777">
      <w:r>
        <w:continuationSeparator/>
      </w:r>
    </w:p>
  </w:endnote>
  <w:endnote w:type="continuationNotice" w:id="1">
    <w:p w14:paraId="0D344660" w14:textId="77777777"/>
  </w:endnote>
  <w:endnote w:id="2">
    <w:p w14:paraId="23CA2AB1" w14:textId="5CAADB5F">
      <w:pPr>
        <w:pStyle w:val="EndnoteText"/>
      </w:pPr>
      <w:r>
        <w:rPr>
          <w:rStyle w:val="EndnoteReference"/>
        </w:rPr>
        <w:endnoteRef/>
      </w:r>
      <w:r>
        <w:t xml:space="preserve"> 45 CFR §46.107(a): “If an IRB regularly reviews research that involves a category of subjects that is vulnerable to coercion or undue influence, such as children, prisoners, individuals with impaired decision-making capacity, or economically or educationally disadvantaged persons, consideration shall be given to the inclusion of one or more individuals who are knowledgeable about and experienced in working with these categories of subjects.”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90531" w14:textId="47BDF571">
    <w:pPr>
      <w:pStyle w:val="SOPFooter"/>
      <w:tabs>
        <w:tab w:val="right" w:pos="9720"/>
        <w:tab w:val="right" w:pos="106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ED069" w14:textId="77777777">
      <w:r>
        <w:separator/>
      </w:r>
    </w:p>
  </w:footnote>
  <w:footnote w:type="continuationSeparator" w:id="0">
    <w:p w14:paraId="14196EF1" w14:textId="77777777">
      <w:r>
        <w:continuationSeparator/>
      </w:r>
    </w:p>
  </w:footnote>
  <w:footnote w:type="continuationNotice" w:id="1">
    <w:p w14:paraId="5EBD3E05" w14:textId="77777777"/>
  </w:footnote>
  <w:footnote w:id="2">
    <w:p w14:paraId="3819FD6F" w14:textId="77777777">
      <w:pPr>
        <w:pStyle w:val="FootnoteText"/>
      </w:pPr>
      <w:r>
        <w:rPr>
          <w:rStyle w:val="FootnoteReference"/>
        </w:rPr>
        <w:footnoteRef/>
      </w:r>
      <w:r>
        <w:t xml:space="preserve"> This document satisfies AAHRPP elements I-3, I.4.C, I-9, II.1.B, II.1.E, II.2.D, II.2.E-II.</w:t>
      </w:r>
      <w:proofErr w:type="gramStart"/>
      <w:r>
        <w:t>2.E.</w:t>
      </w:r>
      <w:proofErr w:type="gramEnd"/>
      <w:r>
        <w:t>2, II.4.A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0"/>
      <w:gridCol w:w="3997"/>
      <w:gridCol w:w="2265"/>
      <w:gridCol w:w="2294"/>
    </w:tblGrid>
    <w:tr w14:paraId="4CCF231C" w14:textId="77777777">
      <w:trPr>
        <w:cantSplit/>
        <w:trHeight w:val="260"/>
      </w:trPr>
      <w:tc>
        <w:tcPr>
          <w:tcW w:w="2250" w:type="dxa"/>
          <w:vMerge w:val="restart"/>
          <w:tcBorders>
            <w:top w:val="nil"/>
            <w:left w:val="nil"/>
            <w:bottom w:val="nil"/>
            <w:right w:val="single" w:sz="4" w:space="0" w:color="auto"/>
          </w:tcBorders>
          <w:vAlign w:val="center"/>
          <w:hideMark/>
        </w:tcPr>
        <w:p w14:paraId="5C0844AC" w14:textId="47D61BC9">
          <w:pPr>
            <w:rPr>
              <w:rFonts w:ascii="Arial" w:hAnsi="Arial" w:cs="Arial"/>
            </w:rPr>
          </w:pPr>
          <w:r>
            <w:rPr>
              <w:noProof/>
            </w:rPr>
            <w:drawing>
              <wp:anchor distT="0" distB="0" distL="0" distR="0" simplePos="0" relativeHeight="251658240" behindDoc="1" locked="0" layoutInCell="1" allowOverlap="1" wp14:anchorId="5ED2F89F" wp14:editId="51A65EFC">
                <wp:simplePos x="0" y="0"/>
                <wp:positionH relativeFrom="page">
                  <wp:posOffset>31750</wp:posOffset>
                </wp:positionH>
                <wp:positionV relativeFrom="page">
                  <wp:posOffset>-21590</wp:posOffset>
                </wp:positionV>
                <wp:extent cx="1346200" cy="71564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46200" cy="715645"/>
                        </a:xfrm>
                        <a:prstGeom prst="rect">
                          <a:avLst/>
                        </a:prstGeom>
                      </pic:spPr>
                    </pic:pic>
                  </a:graphicData>
                </a:graphic>
                <wp14:sizeRelH relativeFrom="margin">
                  <wp14:pctWidth>0</wp14:pctWidth>
                </wp14:sizeRelH>
                <wp14:sizeRelV relativeFrom="margin">
                  <wp14:pctHeight>0</wp14:pctHeight>
                </wp14:sizeRelV>
              </wp:anchor>
            </w:drawing>
          </w:r>
        </w:p>
      </w:tc>
      <w:tc>
        <w:tcPr>
          <w:tcW w:w="8556" w:type="dxa"/>
          <w:gridSpan w:val="3"/>
          <w:tcBorders>
            <w:top w:val="single" w:sz="4" w:space="0" w:color="auto"/>
            <w:left w:val="single" w:sz="4" w:space="0" w:color="auto"/>
            <w:bottom w:val="single" w:sz="4" w:space="0" w:color="auto"/>
            <w:right w:val="single" w:sz="4" w:space="0" w:color="auto"/>
          </w:tcBorders>
          <w:vAlign w:val="center"/>
          <w:hideMark/>
        </w:tcPr>
        <w:p w14:paraId="443F55E6" w14:textId="78BED18B">
          <w:pPr>
            <w:pStyle w:val="SOPName"/>
            <w:spacing w:before="120" w:after="120"/>
            <w:jc w:val="center"/>
            <w:rPr>
              <w:rFonts w:ascii="Arial" w:hAnsi="Arial" w:cs="Arial"/>
            </w:rPr>
          </w:pPr>
          <w:r>
            <w:rPr>
              <w:rStyle w:val="SOPLeader"/>
              <w:rFonts w:ascii="Arial" w:hAnsi="Arial" w:cs="Arial"/>
            </w:rPr>
            <w:t>WORKSHEET: Quorum and Expertise</w:t>
          </w:r>
        </w:p>
      </w:tc>
    </w:tr>
    <w:tr w14:paraId="56587798" w14:textId="77777777">
      <w:trPr>
        <w:cantSplit/>
        <w:trHeight w:val="288"/>
      </w:trPr>
      <w:tc>
        <w:tcPr>
          <w:tcW w:w="2250" w:type="dxa"/>
          <w:vMerge/>
          <w:tcBorders>
            <w:top w:val="nil"/>
            <w:left w:val="nil"/>
            <w:bottom w:val="nil"/>
            <w:right w:val="single" w:sz="4" w:space="0" w:color="auto"/>
          </w:tcBorders>
          <w:vAlign w:val="center"/>
          <w:hideMark/>
        </w:tcPr>
        <w:p w14:paraId="4182B8BF" w14:textId="77777777">
          <w:pPr>
            <w:rPr>
              <w:rFonts w:ascii="Arial" w:hAnsi="Arial" w:cs="Arial"/>
            </w:rPr>
          </w:pPr>
        </w:p>
      </w:tc>
      <w:tc>
        <w:tcPr>
          <w:tcW w:w="3997"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EF64D7B" w14:textId="77777777">
          <w:pPr>
            <w:pStyle w:val="SOPTableHeader"/>
            <w:rPr>
              <w:rFonts w:ascii="Arial" w:hAnsi="Arial" w:cs="Arial"/>
              <w:sz w:val="18"/>
              <w:szCs w:val="18"/>
            </w:rPr>
          </w:pPr>
          <w:r>
            <w:rPr>
              <w:rFonts w:ascii="Arial" w:hAnsi="Arial" w:cs="Arial"/>
              <w:sz w:val="18"/>
              <w:szCs w:val="18"/>
            </w:rPr>
            <w:t>NUMBER</w:t>
          </w:r>
        </w:p>
      </w:tc>
      <w:tc>
        <w:tcPr>
          <w:tcW w:w="226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A073635" w14:textId="77777777">
          <w:pPr>
            <w:pStyle w:val="SOPTableHeader"/>
            <w:rPr>
              <w:rFonts w:ascii="Arial" w:hAnsi="Arial" w:cs="Arial"/>
              <w:sz w:val="18"/>
              <w:szCs w:val="18"/>
            </w:rPr>
          </w:pPr>
          <w:r>
            <w:rPr>
              <w:rFonts w:ascii="Arial" w:hAnsi="Arial" w:cs="Arial"/>
              <w:sz w:val="18"/>
              <w:szCs w:val="18"/>
            </w:rPr>
            <w:t>DATE</w:t>
          </w:r>
        </w:p>
      </w:tc>
      <w:tc>
        <w:tcPr>
          <w:tcW w:w="229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1B776E1" w14:textId="77777777">
          <w:pPr>
            <w:pStyle w:val="SOPTableHeader"/>
            <w:rPr>
              <w:rFonts w:ascii="Arial" w:hAnsi="Arial" w:cs="Arial"/>
              <w:sz w:val="18"/>
              <w:szCs w:val="18"/>
            </w:rPr>
          </w:pPr>
          <w:r>
            <w:rPr>
              <w:rFonts w:ascii="Arial" w:hAnsi="Arial" w:cs="Arial"/>
              <w:sz w:val="18"/>
              <w:szCs w:val="18"/>
            </w:rPr>
            <w:t>PAGE</w:t>
          </w:r>
        </w:p>
      </w:tc>
    </w:tr>
    <w:tr w14:paraId="6C81E802" w14:textId="77777777">
      <w:trPr>
        <w:cantSplit/>
        <w:trHeight w:val="288"/>
      </w:trPr>
      <w:tc>
        <w:tcPr>
          <w:tcW w:w="2250" w:type="dxa"/>
          <w:vMerge/>
          <w:tcBorders>
            <w:top w:val="nil"/>
            <w:left w:val="nil"/>
            <w:bottom w:val="nil"/>
            <w:right w:val="single" w:sz="4" w:space="0" w:color="auto"/>
          </w:tcBorders>
          <w:vAlign w:val="center"/>
          <w:hideMark/>
        </w:tcPr>
        <w:p w14:paraId="1AF0E49A" w14:textId="77777777">
          <w:pPr>
            <w:rPr>
              <w:rFonts w:ascii="Arial" w:hAnsi="Arial" w:cs="Arial"/>
            </w:rPr>
          </w:pPr>
        </w:p>
      </w:tc>
      <w:tc>
        <w:tcPr>
          <w:tcW w:w="3997"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67EAE61" w14:textId="5E3395DE">
          <w:pPr>
            <w:pStyle w:val="SOPTableEntry"/>
            <w:rPr>
              <w:rFonts w:ascii="Arial" w:hAnsi="Arial" w:cs="Arial"/>
            </w:rPr>
          </w:pPr>
          <w:r>
            <w:rPr>
              <w:rFonts w:ascii="Arial" w:hAnsi="Arial" w:cs="Arial"/>
            </w:rPr>
            <w:t>HRP-305</w:t>
          </w:r>
        </w:p>
      </w:tc>
      <w:tc>
        <w:tcPr>
          <w:tcW w:w="2265"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4F48F2F" w14:textId="52B0D1B1">
          <w:pPr>
            <w:pStyle w:val="SOPTableEntry"/>
            <w:rPr>
              <w:rFonts w:ascii="Arial" w:hAnsi="Arial" w:cs="Arial"/>
            </w:rPr>
          </w:pPr>
          <w:r>
            <w:rPr>
              <w:rFonts w:ascii="Arial" w:hAnsi="Arial" w:cs="Arial"/>
            </w:rPr>
            <w:t>12/10/2021</w:t>
          </w:r>
        </w:p>
      </w:tc>
      <w:tc>
        <w:tcPr>
          <w:tcW w:w="2294"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525F703" w14:textId="77777777">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Pr>
              <w:rFonts w:ascii="Arial" w:hAnsi="Arial" w:cs="Arial"/>
              <w:noProof/>
            </w:rPr>
            <w:t>6</w:t>
          </w:r>
          <w:r>
            <w:rPr>
              <w:rFonts w:ascii="Arial" w:hAnsi="Arial" w:cs="Arial"/>
            </w:rPr>
            <w:fldChar w:fldCharType="end"/>
          </w:r>
        </w:p>
      </w:tc>
    </w:tr>
  </w:tbl>
  <w:p w14:paraId="6F2BC791" w14:textId="22418D4A">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AB16CD1"/>
    <w:multiLevelType w:val="hybridMultilevel"/>
    <w:tmpl w:val="B808A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044985"/>
    <w:multiLevelType w:val="hybridMultilevel"/>
    <w:tmpl w:val="4E220888"/>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C563EFC"/>
    <w:multiLevelType w:val="hybridMultilevel"/>
    <w:tmpl w:val="217CD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651786983">
    <w:abstractNumId w:val="18"/>
  </w:num>
  <w:num w:numId="2" w16cid:durableId="103887765">
    <w:abstractNumId w:val="10"/>
  </w:num>
  <w:num w:numId="3" w16cid:durableId="1954361713">
    <w:abstractNumId w:val="19"/>
  </w:num>
  <w:num w:numId="4" w16cid:durableId="41945825">
    <w:abstractNumId w:val="9"/>
  </w:num>
  <w:num w:numId="5" w16cid:durableId="247422731">
    <w:abstractNumId w:val="7"/>
  </w:num>
  <w:num w:numId="6" w16cid:durableId="867261650">
    <w:abstractNumId w:val="6"/>
  </w:num>
  <w:num w:numId="7" w16cid:durableId="1674868698">
    <w:abstractNumId w:val="5"/>
  </w:num>
  <w:num w:numId="8" w16cid:durableId="1202788147">
    <w:abstractNumId w:val="4"/>
  </w:num>
  <w:num w:numId="9" w16cid:durableId="982584919">
    <w:abstractNumId w:val="8"/>
  </w:num>
  <w:num w:numId="10" w16cid:durableId="1655138409">
    <w:abstractNumId w:val="3"/>
  </w:num>
  <w:num w:numId="11" w16cid:durableId="860165265">
    <w:abstractNumId w:val="2"/>
  </w:num>
  <w:num w:numId="12" w16cid:durableId="1284192632">
    <w:abstractNumId w:val="1"/>
  </w:num>
  <w:num w:numId="13" w16cid:durableId="1672028626">
    <w:abstractNumId w:val="0"/>
  </w:num>
  <w:num w:numId="14" w16cid:durableId="790245020">
    <w:abstractNumId w:val="17"/>
  </w:num>
  <w:num w:numId="15" w16cid:durableId="401098263">
    <w:abstractNumId w:val="20"/>
  </w:num>
  <w:num w:numId="16" w16cid:durableId="74057722">
    <w:abstractNumId w:val="24"/>
  </w:num>
  <w:num w:numId="17" w16cid:durableId="1545872647">
    <w:abstractNumId w:val="14"/>
  </w:num>
  <w:num w:numId="18" w16cid:durableId="1204556559">
    <w:abstractNumId w:val="23"/>
  </w:num>
  <w:num w:numId="19" w16cid:durableId="1461876429">
    <w:abstractNumId w:val="22"/>
  </w:num>
  <w:num w:numId="20" w16cid:durableId="1600481520">
    <w:abstractNumId w:val="21"/>
  </w:num>
  <w:num w:numId="21" w16cid:durableId="1349798384">
    <w:abstractNumId w:val="25"/>
  </w:num>
  <w:num w:numId="22" w16cid:durableId="1926838912">
    <w:abstractNumId w:val="16"/>
  </w:num>
  <w:num w:numId="23" w16cid:durableId="1144154869">
    <w:abstractNumId w:val="13"/>
  </w:num>
  <w:num w:numId="24" w16cid:durableId="605311970">
    <w:abstractNumId w:val="27"/>
  </w:num>
  <w:num w:numId="25" w16cid:durableId="1983850341">
    <w:abstractNumId w:val="15"/>
  </w:num>
  <w:num w:numId="26" w16cid:durableId="552037028">
    <w:abstractNumId w:val="12"/>
  </w:num>
  <w:num w:numId="27" w16cid:durableId="964628169">
    <w:abstractNumId w:val="11"/>
  </w:num>
  <w:num w:numId="28" w16cid:durableId="10438718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BCF3F80-91C9-4B0B-9B2F-9E6F23EEA59C}"/>
    <w:docVar w:name="dgnword-eventsink" w:val="172326304"/>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Pr>
      <w:rFonts w:ascii="Arial Narrow" w:hAnsi="Arial Narrow"/>
      <w:szCs w:val="24"/>
    </w:rPr>
  </w:style>
  <w:style w:type="paragraph" w:customStyle="1" w:styleId="ChecklistName">
    <w:name w:val="Checklist Name"/>
    <w:basedOn w:val="ChecklistBasis"/>
    <w:rPr>
      <w:sz w:val="24"/>
    </w:rPr>
  </w:style>
  <w:style w:type="paragraph" w:customStyle="1" w:styleId="ChecklistLevel1">
    <w:name w:val="Checklist Level 1"/>
    <w:basedOn w:val="ChecklistBasis"/>
    <w:pPr>
      <w:numPr>
        <w:numId w:val="14"/>
      </w:numPr>
      <w:tabs>
        <w:tab w:val="clear" w:pos="720"/>
        <w:tab w:val="left" w:pos="360"/>
      </w:tabs>
      <w:ind w:left="360" w:hanging="360"/>
    </w:pPr>
    <w:rPr>
      <w:b/>
    </w:rPr>
  </w:style>
  <w:style w:type="paragraph" w:customStyle="1" w:styleId="ChecklistLevel2">
    <w:name w:val="Checklist Level 2"/>
    <w:basedOn w:val="ChecklistLevel1"/>
    <w:pPr>
      <w:numPr>
        <w:ilvl w:val="1"/>
      </w:numPr>
      <w:tabs>
        <w:tab w:val="clear" w:pos="360"/>
        <w:tab w:val="clear" w:pos="1080"/>
        <w:tab w:val="left" w:pos="720"/>
      </w:tabs>
      <w:ind w:left="720"/>
    </w:pPr>
    <w:rPr>
      <w:b w:val="0"/>
    </w:rPr>
  </w:style>
  <w:style w:type="paragraph" w:customStyle="1" w:styleId="ChecklistLevel3">
    <w:name w:val="Checklist Level 3"/>
    <w:basedOn w:val="ChecklistLevel2"/>
    <w:pPr>
      <w:numPr>
        <w:ilvl w:val="2"/>
      </w:numPr>
      <w:tabs>
        <w:tab w:val="clear" w:pos="720"/>
        <w:tab w:val="clear" w:pos="2448"/>
        <w:tab w:val="left" w:pos="1728"/>
      </w:tabs>
      <w:ind w:left="1728"/>
    </w:pPr>
  </w:style>
  <w:style w:type="paragraph" w:customStyle="1" w:styleId="ChecklistLevel4">
    <w:name w:val="Checklist Level 4"/>
    <w:basedOn w:val="ChecklistLevel3"/>
    <w:pPr>
      <w:numPr>
        <w:ilvl w:val="3"/>
      </w:numPr>
      <w:tabs>
        <w:tab w:val="clear" w:pos="1728"/>
        <w:tab w:val="clear" w:pos="3744"/>
        <w:tab w:val="left" w:pos="3024"/>
      </w:tabs>
      <w:ind w:left="3024"/>
    </w:pPr>
  </w:style>
  <w:style w:type="character" w:customStyle="1" w:styleId="ChecklistLeader">
    <w:name w:val="Checklist Leader"/>
    <w:rPr>
      <w:rFonts w:ascii="Arial Narrow" w:hAnsi="Arial Narrow"/>
      <w:b/>
      <w:sz w:val="24"/>
    </w:rPr>
  </w:style>
  <w:style w:type="paragraph" w:customStyle="1" w:styleId="ChecklistFooter">
    <w:name w:val="Checklist Footer"/>
    <w:basedOn w:val="ChecklistBasis"/>
    <w:pPr>
      <w:tabs>
        <w:tab w:val="center" w:pos="5400"/>
        <w:tab w:val="right" w:pos="10800"/>
      </w:tabs>
    </w:pPr>
    <w:rPr>
      <w:sz w:val="18"/>
    </w:rPr>
  </w:style>
  <w:style w:type="paragraph" w:customStyle="1" w:styleId="ExplanationLevel2">
    <w:name w:val="Explanation Level 2"/>
    <w:basedOn w:val="ChecklistLevel2"/>
    <w:next w:val="ChecklistLevel2"/>
    <w:pPr>
      <w:numPr>
        <w:ilvl w:val="0"/>
        <w:numId w:val="0"/>
      </w:numPr>
      <w:ind w:left="720"/>
    </w:pPr>
  </w:style>
  <w:style w:type="paragraph" w:customStyle="1" w:styleId="ExplanationLevel3">
    <w:name w:val="Explanation Level 3"/>
    <w:basedOn w:val="ChecklistLevel3"/>
    <w:next w:val="ChecklistLevel3"/>
    <w:pPr>
      <w:numPr>
        <w:ilvl w:val="0"/>
        <w:numId w:val="0"/>
      </w:numPr>
      <w:tabs>
        <w:tab w:val="clear" w:pos="1728"/>
      </w:tabs>
      <w:ind w:left="1728"/>
    </w:pPr>
  </w:style>
  <w:style w:type="paragraph" w:customStyle="1" w:styleId="ExplanationLevel4">
    <w:name w:val="Explanation Level 4"/>
    <w:basedOn w:val="ChecklistLevel4"/>
    <w:next w:val="ChecklistLevel4"/>
    <w:pPr>
      <w:numPr>
        <w:ilvl w:val="0"/>
        <w:numId w:val="0"/>
      </w:numPr>
      <w:tabs>
        <w:tab w:val="clear" w:pos="3024"/>
      </w:tabs>
      <w:ind w:left="3060"/>
    </w:pPr>
  </w:style>
  <w:style w:type="paragraph" w:customStyle="1" w:styleId="ChecklistTableHeader">
    <w:name w:val="Checklist Table Header"/>
    <w:basedOn w:val="ChecklistBasis"/>
    <w:pPr>
      <w:jc w:val="center"/>
    </w:pPr>
    <w:rPr>
      <w:b/>
    </w:rPr>
  </w:style>
  <w:style w:type="paragraph" w:customStyle="1" w:styleId="CommentLevel2">
    <w:name w:val="Comment Level 2"/>
    <w:basedOn w:val="ExplanationLevel2"/>
    <w:next w:val="ChecklistLevel2"/>
    <w:pPr>
      <w:spacing w:after="1080"/>
    </w:pPr>
  </w:style>
  <w:style w:type="paragraph" w:customStyle="1" w:styleId="CommentLevel3">
    <w:name w:val="Comment Level 3"/>
    <w:basedOn w:val="CommentLevel2"/>
    <w:next w:val="ChecklistLevel3"/>
    <w:pPr>
      <w:ind w:left="1728"/>
    </w:pPr>
  </w:style>
  <w:style w:type="paragraph" w:customStyle="1" w:styleId="CommentLevel4">
    <w:name w:val="Comment Level 4"/>
    <w:basedOn w:val="CommentLevel3"/>
    <w:next w:val="ChecklistLevel4"/>
    <w:pPr>
      <w:ind w:left="3067"/>
    </w:pPr>
  </w:style>
  <w:style w:type="paragraph" w:customStyle="1" w:styleId="ChecklistTableLabel">
    <w:name w:val="Checklist Table Label"/>
    <w:basedOn w:val="ChecklistBasis"/>
    <w:pPr>
      <w:spacing w:before="120" w:after="120"/>
      <w:jc w:val="right"/>
    </w:pPr>
    <w:rPr>
      <w:b/>
    </w:rPr>
  </w:style>
  <w:style w:type="paragraph" w:styleId="BalloonText">
    <w:name w:val="Balloon Text"/>
    <w:basedOn w:val="Normal"/>
    <w:semiHidden/>
    <w:rPr>
      <w:rFonts w:ascii="Tahoma" w:hAnsi="Tahoma" w:cs="Tahoma"/>
      <w:sz w:val="16"/>
      <w:szCs w:val="16"/>
    </w:rPr>
  </w:style>
  <w:style w:type="paragraph" w:customStyle="1" w:styleId="ChecklistTableEntry">
    <w:name w:val="Checklist Table Entry"/>
    <w:basedOn w:val="ChecklistTableHeader"/>
    <w:rPr>
      <w:rFonts w:cs="Tahoma"/>
      <w:b w:val="0"/>
      <w:sz w:val="18"/>
      <w:szCs w:val="20"/>
    </w:rPr>
  </w:style>
  <w:style w:type="paragraph" w:styleId="EndnoteText">
    <w:name w:val="endnote text"/>
    <w:basedOn w:val="Normal"/>
    <w:semiHidden/>
    <w:pPr>
      <w:ind w:left="216" w:hanging="216"/>
    </w:pPr>
    <w:rPr>
      <w:sz w:val="18"/>
      <w:szCs w:val="20"/>
    </w:rPr>
  </w:style>
  <w:style w:type="character" w:styleId="EndnoteReference">
    <w:name w:val="endnote reference"/>
    <w:semiHidden/>
    <w:rPr>
      <w:vertAlign w:val="superscript"/>
    </w:rPr>
  </w:style>
  <w:style w:type="paragraph" w:customStyle="1" w:styleId="StatementLevel1">
    <w:name w:val="Statement Level 1"/>
    <w:basedOn w:val="ChecklistBasis"/>
    <w:link w:val="StatementLevel1Char"/>
  </w:style>
  <w:style w:type="paragraph" w:customStyle="1" w:styleId="Yes-No">
    <w:name w:val="Yes-No"/>
    <w:basedOn w:val="StatementLevel1"/>
    <w:pPr>
      <w:tabs>
        <w:tab w:val="left" w:pos="720"/>
      </w:tabs>
    </w:pPr>
    <w:rPr>
      <w:b/>
    </w:rPr>
  </w:style>
  <w:style w:type="character" w:customStyle="1" w:styleId="StatementLevel1Char">
    <w:name w:val="Statement Level 1 Char"/>
    <w:link w:val="StatementLevel1"/>
    <w:rPr>
      <w:rFonts w:ascii="Arial Narrow" w:hAnsi="Arial Narrow"/>
      <w:szCs w:val="24"/>
      <w:lang w:val="en-US" w:eastAsia="en-US" w:bidi="ar-SA"/>
    </w:rPr>
  </w:style>
  <w:style w:type="paragraph" w:customStyle="1" w:styleId="StatementLevel1Hanging">
    <w:name w:val="Statement Level 1 Hanging"/>
    <w:basedOn w:val="StatementLevel1"/>
    <w:pPr>
      <w:ind w:left="288" w:hanging="288"/>
    </w:pPr>
  </w:style>
  <w:style w:type="character" w:customStyle="1" w:styleId="ChecklistBasisChar">
    <w:name w:val="Checklist Basis Char"/>
    <w:link w:val="ChecklistBasis"/>
    <w:rPr>
      <w:rFonts w:ascii="Arial Narrow" w:hAnsi="Arial Narrow"/>
      <w:szCs w:val="24"/>
      <w:lang w:val="en-US" w:eastAsia="en-US" w:bidi="ar-SA"/>
    </w:rPr>
  </w:style>
  <w:style w:type="paragraph" w:customStyle="1" w:styleId="SOPFooter">
    <w:name w:val="SOP Footer"/>
    <w:basedOn w:val="Normal"/>
    <w:pPr>
      <w:jc w:val="center"/>
    </w:pPr>
    <w:rPr>
      <w:rFonts w:ascii="Arial" w:hAnsi="Arial" w:cs="Tahoma"/>
      <w:sz w:val="16"/>
      <w:szCs w:val="20"/>
    </w:rPr>
  </w:style>
  <w:style w:type="character" w:customStyle="1" w:styleId="SOPLeader">
    <w:name w:val="SOP Leader"/>
    <w:rPr>
      <w:rFonts w:ascii="Calibri" w:hAnsi="Calibri"/>
      <w:b/>
      <w:sz w:val="24"/>
    </w:rPr>
  </w:style>
  <w:style w:type="paragraph" w:customStyle="1" w:styleId="SOPName">
    <w:name w:val="SOP Name"/>
    <w:basedOn w:val="Normal"/>
    <w:rPr>
      <w:rFonts w:ascii="Calibri" w:hAnsi="Calibri" w:cs="Tahoma"/>
      <w:szCs w:val="20"/>
    </w:rPr>
  </w:style>
  <w:style w:type="paragraph" w:customStyle="1" w:styleId="SOPTableHeader">
    <w:name w:val="SOP Table Header"/>
    <w:basedOn w:val="Normal"/>
    <w:pPr>
      <w:jc w:val="center"/>
    </w:pPr>
    <w:rPr>
      <w:rFonts w:ascii="Calibri" w:hAnsi="Calibri" w:cs="Tahoma"/>
      <w:sz w:val="20"/>
      <w:szCs w:val="20"/>
    </w:rPr>
  </w:style>
  <w:style w:type="paragraph" w:customStyle="1" w:styleId="SOPTableEntry">
    <w:name w:val="SOP Table Entry"/>
    <w:basedOn w:val="SOPTableHeader"/>
    <w:rPr>
      <w:sz w:val="18"/>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style>
  <w:style w:type="character" w:styleId="FootnoteReference">
    <w:name w:val="footnote reference"/>
    <w:basedOn w:val="DefaultParagraphFont"/>
    <w:semiHidden/>
    <w:unhideWhenUsed/>
    <w:rPr>
      <w:vertAlign w:val="superscript"/>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06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1B88E5CE9A347A512BDF0216DC759" ma:contentTypeVersion="10" ma:contentTypeDescription="Create a new document." ma:contentTypeScope="" ma:versionID="ede2e840551ffbb291668250e2d9dc86">
  <xsd:schema xmlns:xsd="http://www.w3.org/2001/XMLSchema" xmlns:xs="http://www.w3.org/2001/XMLSchema" xmlns:p="http://schemas.microsoft.com/office/2006/metadata/properties" xmlns:ns2="cde09f36-79a3-41d6-bf0c-326b2c3be749" xmlns:ns3="2f2dc435-e672-468d-8232-f0167d80fec8" targetNamespace="http://schemas.microsoft.com/office/2006/metadata/properties" ma:root="true" ma:fieldsID="237837028ca031468566f29f7b452386" ns2:_="" ns3:_="">
    <xsd:import namespace="cde09f36-79a3-41d6-bf0c-326b2c3be749"/>
    <xsd:import namespace="2f2dc435-e672-468d-8232-f0167d80fe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09f36-79a3-41d6-bf0c-326b2c3be7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dc435-e672-468d-8232-f0167d80fe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ED3B91-D785-4E5A-99F9-2932D39B4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09f36-79a3-41d6-bf0c-326b2c3be749"/>
    <ds:schemaRef ds:uri="2f2dc435-e672-468d-8232-f0167d80f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52ED22-2787-4C2E-BDA9-348DC0EF6412}">
  <ds:schemaRefs>
    <ds:schemaRef ds:uri="http://schemas.openxmlformats.org/officeDocument/2006/bibliography"/>
  </ds:schemaRefs>
</ds:datastoreItem>
</file>

<file path=customXml/itemProps3.xml><?xml version="1.0" encoding="utf-8"?>
<ds:datastoreItem xmlns:ds="http://schemas.openxmlformats.org/officeDocument/2006/customXml" ds:itemID="{9F0DA4EE-A68D-48EE-BD1D-D98EFC13A3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951CD5-6A16-46F0-811B-D2CD55EE17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4721</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2023-02-24T15:52:00Z</dcterms:created>
  <dcterms:modified xsi:type="dcterms:W3CDTF">2023-02-24T15:52:00Z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0x010100AA11B88E5CE9A347A512BDF0216DC759</vt:lpwstr>
  </property>
</Properties>
</file>